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D9AA" w14:textId="77777777" w:rsidR="00885579" w:rsidRPr="00A46F17" w:rsidRDefault="00885579" w:rsidP="00A823BF">
      <w:pPr>
        <w:contextualSpacing/>
        <w:jc w:val="center"/>
      </w:pPr>
    </w:p>
    <w:p w14:paraId="2AB7ED1B" w14:textId="77777777" w:rsidR="00885579" w:rsidRPr="00A46F17" w:rsidRDefault="00885579" w:rsidP="00A823BF">
      <w:pPr>
        <w:contextualSpacing/>
        <w:jc w:val="center"/>
      </w:pPr>
    </w:p>
    <w:p w14:paraId="6D0FEDF0" w14:textId="77777777" w:rsidR="00885579" w:rsidRPr="00A46F17" w:rsidRDefault="00885579" w:rsidP="00A823BF">
      <w:pPr>
        <w:contextualSpacing/>
        <w:jc w:val="center"/>
      </w:pPr>
    </w:p>
    <w:p w14:paraId="17280052" w14:textId="77777777" w:rsidR="00885579" w:rsidRPr="00A46F17" w:rsidRDefault="00885579" w:rsidP="00A823BF">
      <w:pPr>
        <w:contextualSpacing/>
        <w:jc w:val="center"/>
      </w:pPr>
    </w:p>
    <w:p w14:paraId="74A109DA" w14:textId="77777777" w:rsidR="00885579" w:rsidRPr="00A46F17" w:rsidRDefault="00885579" w:rsidP="00A823BF">
      <w:pPr>
        <w:contextualSpacing/>
        <w:jc w:val="center"/>
      </w:pPr>
    </w:p>
    <w:p w14:paraId="6103D5A6" w14:textId="77777777" w:rsidR="00885579" w:rsidRDefault="00885579" w:rsidP="00A823BF">
      <w:pPr>
        <w:contextualSpacing/>
        <w:jc w:val="center"/>
      </w:pPr>
    </w:p>
    <w:p w14:paraId="6B28190B" w14:textId="77777777" w:rsidR="00A823BF" w:rsidRDefault="00A823BF" w:rsidP="00A823BF">
      <w:pPr>
        <w:contextualSpacing/>
        <w:jc w:val="center"/>
      </w:pPr>
    </w:p>
    <w:p w14:paraId="7C55AFBB" w14:textId="77777777" w:rsidR="00A823BF" w:rsidRDefault="00A823BF" w:rsidP="00A823BF">
      <w:pPr>
        <w:contextualSpacing/>
        <w:jc w:val="center"/>
      </w:pPr>
    </w:p>
    <w:p w14:paraId="7E439922" w14:textId="77777777" w:rsidR="00A823BF" w:rsidRDefault="00A823BF" w:rsidP="00A823BF">
      <w:pPr>
        <w:contextualSpacing/>
        <w:jc w:val="center"/>
      </w:pPr>
    </w:p>
    <w:p w14:paraId="0256A577" w14:textId="77777777" w:rsidR="00A823BF" w:rsidRDefault="00A823BF" w:rsidP="00A823BF">
      <w:pPr>
        <w:contextualSpacing/>
        <w:jc w:val="center"/>
      </w:pPr>
    </w:p>
    <w:p w14:paraId="5116804D" w14:textId="77777777" w:rsidR="00A823BF" w:rsidRDefault="00A823BF" w:rsidP="00A823BF">
      <w:pPr>
        <w:contextualSpacing/>
        <w:jc w:val="center"/>
      </w:pPr>
    </w:p>
    <w:p w14:paraId="6744DB0C" w14:textId="77777777" w:rsidR="00A823BF" w:rsidRDefault="00A823BF" w:rsidP="00A823BF">
      <w:pPr>
        <w:contextualSpacing/>
        <w:jc w:val="center"/>
      </w:pPr>
    </w:p>
    <w:p w14:paraId="57943A5E" w14:textId="77777777" w:rsidR="00A823BF" w:rsidRDefault="00A823BF" w:rsidP="00A823BF">
      <w:pPr>
        <w:contextualSpacing/>
        <w:jc w:val="center"/>
      </w:pPr>
    </w:p>
    <w:p w14:paraId="6C900E46" w14:textId="77777777" w:rsidR="00A823BF" w:rsidRPr="00A46F17" w:rsidRDefault="00A823BF" w:rsidP="00A823BF">
      <w:pPr>
        <w:contextualSpacing/>
        <w:jc w:val="center"/>
      </w:pPr>
    </w:p>
    <w:p w14:paraId="6D80835F" w14:textId="77777777" w:rsidR="007F24A6" w:rsidRDefault="007F24A6" w:rsidP="00A823BF">
      <w:pPr>
        <w:contextualSpacing/>
        <w:jc w:val="center"/>
      </w:pPr>
    </w:p>
    <w:p w14:paraId="763CBBBC" w14:textId="77777777" w:rsidR="007F24A6" w:rsidRDefault="007F24A6" w:rsidP="00A823BF">
      <w:pPr>
        <w:contextualSpacing/>
        <w:jc w:val="center"/>
      </w:pPr>
    </w:p>
    <w:p w14:paraId="12FB0E9D" w14:textId="77777777" w:rsidR="006044F2" w:rsidRPr="00A46F17" w:rsidRDefault="005F05D5" w:rsidP="00A823BF">
      <w:pPr>
        <w:contextualSpacing/>
        <w:jc w:val="center"/>
      </w:pPr>
      <w:r w:rsidRPr="00A46F17">
        <w:t>SOUTH DAKOTA DEPAR</w:t>
      </w:r>
      <w:r w:rsidR="006044F2" w:rsidRPr="00A46F17">
        <w:t>TMENT OF TRANSPORTATION</w:t>
      </w:r>
    </w:p>
    <w:p w14:paraId="446C657E" w14:textId="77777777" w:rsidR="006044F2" w:rsidRPr="00A46F17" w:rsidRDefault="006044F2" w:rsidP="00A823BF">
      <w:pPr>
        <w:contextualSpacing/>
        <w:jc w:val="center"/>
      </w:pPr>
      <w:r w:rsidRPr="00A46F17">
        <w:t>AUDITS PROCEDURES</w:t>
      </w:r>
      <w:r w:rsidR="000B164E" w:rsidRPr="00A46F17">
        <w:t xml:space="preserve"> </w:t>
      </w:r>
    </w:p>
    <w:p w14:paraId="0D7E5F0E" w14:textId="77777777" w:rsidR="006044F2" w:rsidRPr="00A46F17" w:rsidRDefault="006044F2" w:rsidP="00A823BF">
      <w:pPr>
        <w:contextualSpacing/>
        <w:jc w:val="center"/>
      </w:pPr>
    </w:p>
    <w:p w14:paraId="44114C1D" w14:textId="77777777" w:rsidR="006044F2" w:rsidRPr="00A46F17" w:rsidRDefault="006044F2" w:rsidP="00A823BF">
      <w:pPr>
        <w:contextualSpacing/>
        <w:jc w:val="center"/>
      </w:pPr>
    </w:p>
    <w:p w14:paraId="66A1DEEE" w14:textId="77777777" w:rsidR="006044F2" w:rsidRPr="00A46F17" w:rsidRDefault="006044F2" w:rsidP="00A823BF">
      <w:pPr>
        <w:contextualSpacing/>
        <w:jc w:val="center"/>
      </w:pPr>
    </w:p>
    <w:p w14:paraId="6AF24DF7" w14:textId="77777777" w:rsidR="006044F2" w:rsidRPr="00A46F17" w:rsidRDefault="006044F2" w:rsidP="00A823BF">
      <w:pPr>
        <w:contextualSpacing/>
        <w:jc w:val="center"/>
      </w:pPr>
    </w:p>
    <w:p w14:paraId="6CA5E015" w14:textId="71E8B354" w:rsidR="006044F2" w:rsidRDefault="00E455D8" w:rsidP="00A823BF">
      <w:pPr>
        <w:contextualSpacing/>
        <w:jc w:val="center"/>
      </w:pPr>
      <w:r>
        <w:t>March 2022</w:t>
      </w:r>
    </w:p>
    <w:p w14:paraId="32928070" w14:textId="77777777" w:rsidR="00BF5E89" w:rsidRPr="00A46F17" w:rsidRDefault="00BF5E89" w:rsidP="00A823BF">
      <w:pPr>
        <w:contextualSpacing/>
      </w:pPr>
    </w:p>
    <w:p w14:paraId="39561770" w14:textId="77777777" w:rsidR="006044F2" w:rsidRPr="00A46F17" w:rsidRDefault="006044F2" w:rsidP="00A823BF">
      <w:pPr>
        <w:contextualSpacing/>
        <w:jc w:val="center"/>
      </w:pPr>
    </w:p>
    <w:p w14:paraId="36CDF9DB" w14:textId="77777777" w:rsidR="006044F2" w:rsidRPr="00A46F17" w:rsidRDefault="006044F2" w:rsidP="00A823BF">
      <w:pPr>
        <w:contextualSpacing/>
        <w:jc w:val="center"/>
      </w:pPr>
    </w:p>
    <w:p w14:paraId="16F71C0E" w14:textId="77777777" w:rsidR="006044F2" w:rsidRPr="00A46F17" w:rsidRDefault="006044F2" w:rsidP="00A823BF">
      <w:pPr>
        <w:contextualSpacing/>
        <w:jc w:val="center"/>
      </w:pPr>
    </w:p>
    <w:p w14:paraId="20FC023B" w14:textId="77777777" w:rsidR="006044F2" w:rsidRPr="00A46F17" w:rsidRDefault="006044F2" w:rsidP="00A823BF">
      <w:pPr>
        <w:contextualSpacing/>
        <w:jc w:val="center"/>
      </w:pPr>
    </w:p>
    <w:p w14:paraId="7EEE4D4C" w14:textId="77777777" w:rsidR="006044F2" w:rsidRPr="00A46F17" w:rsidRDefault="006044F2" w:rsidP="00A823BF">
      <w:pPr>
        <w:contextualSpacing/>
        <w:jc w:val="center"/>
      </w:pPr>
    </w:p>
    <w:p w14:paraId="171861D6" w14:textId="77777777" w:rsidR="006044F2" w:rsidRPr="00A46F17" w:rsidRDefault="006044F2" w:rsidP="00A823BF">
      <w:pPr>
        <w:contextualSpacing/>
        <w:jc w:val="center"/>
      </w:pPr>
    </w:p>
    <w:p w14:paraId="1D6E00B9" w14:textId="77777777" w:rsidR="006044F2" w:rsidRPr="00A46F17" w:rsidRDefault="006044F2" w:rsidP="00A823BF">
      <w:pPr>
        <w:contextualSpacing/>
        <w:jc w:val="center"/>
      </w:pPr>
    </w:p>
    <w:p w14:paraId="201E729B" w14:textId="77777777" w:rsidR="006044F2" w:rsidRPr="00A46F17" w:rsidRDefault="006044F2" w:rsidP="00A823BF">
      <w:pPr>
        <w:contextualSpacing/>
        <w:jc w:val="center"/>
      </w:pPr>
    </w:p>
    <w:p w14:paraId="4B1F5D07" w14:textId="77777777" w:rsidR="006044F2" w:rsidRPr="00A46F17" w:rsidRDefault="006044F2" w:rsidP="00A823BF">
      <w:pPr>
        <w:contextualSpacing/>
        <w:jc w:val="center"/>
      </w:pPr>
    </w:p>
    <w:p w14:paraId="0D40C2A4" w14:textId="77777777" w:rsidR="006044F2" w:rsidRPr="00A46F17" w:rsidRDefault="006044F2" w:rsidP="00A823BF">
      <w:pPr>
        <w:contextualSpacing/>
        <w:jc w:val="center"/>
      </w:pPr>
    </w:p>
    <w:p w14:paraId="0877D30A" w14:textId="77777777" w:rsidR="006044F2" w:rsidRPr="00A46F17" w:rsidRDefault="006044F2" w:rsidP="00A823BF">
      <w:pPr>
        <w:contextualSpacing/>
        <w:jc w:val="center"/>
      </w:pPr>
    </w:p>
    <w:p w14:paraId="77E7E8B7" w14:textId="77777777" w:rsidR="006044F2" w:rsidRPr="00A46F17" w:rsidRDefault="006044F2" w:rsidP="00A823BF">
      <w:pPr>
        <w:contextualSpacing/>
        <w:jc w:val="center"/>
      </w:pPr>
    </w:p>
    <w:p w14:paraId="16D7BCA1" w14:textId="77777777" w:rsidR="00995B2C" w:rsidRPr="00A46F17" w:rsidRDefault="00995B2C" w:rsidP="00A823BF">
      <w:pPr>
        <w:contextualSpacing/>
        <w:jc w:val="center"/>
      </w:pPr>
    </w:p>
    <w:p w14:paraId="6D6C219C" w14:textId="77777777" w:rsidR="00995B2C" w:rsidRPr="00A46F17" w:rsidRDefault="00995B2C" w:rsidP="00A823BF">
      <w:pPr>
        <w:contextualSpacing/>
        <w:jc w:val="center"/>
      </w:pPr>
    </w:p>
    <w:p w14:paraId="6852558E" w14:textId="77777777" w:rsidR="00995B2C" w:rsidRPr="00A46F17" w:rsidRDefault="00995B2C" w:rsidP="00A823BF">
      <w:pPr>
        <w:contextualSpacing/>
        <w:jc w:val="center"/>
      </w:pPr>
    </w:p>
    <w:p w14:paraId="39A91A67" w14:textId="77777777" w:rsidR="00BF5E89" w:rsidRDefault="00BF5E89" w:rsidP="00A823BF">
      <w:pPr>
        <w:contextualSpacing/>
        <w:jc w:val="center"/>
      </w:pPr>
    </w:p>
    <w:p w14:paraId="2766B7E3" w14:textId="77777777" w:rsidR="00A823BF" w:rsidRDefault="00A823BF" w:rsidP="00A823BF">
      <w:pPr>
        <w:contextualSpacing/>
        <w:jc w:val="center"/>
      </w:pPr>
    </w:p>
    <w:p w14:paraId="2AA94A78" w14:textId="77777777" w:rsidR="00A823BF" w:rsidRDefault="00A823BF" w:rsidP="00A823BF">
      <w:pPr>
        <w:contextualSpacing/>
        <w:jc w:val="center"/>
      </w:pPr>
    </w:p>
    <w:p w14:paraId="3B9AB09D" w14:textId="77777777" w:rsidR="00A823BF" w:rsidRDefault="00A823BF" w:rsidP="00A823BF">
      <w:pPr>
        <w:contextualSpacing/>
        <w:jc w:val="center"/>
      </w:pPr>
    </w:p>
    <w:p w14:paraId="38765AC4" w14:textId="77777777" w:rsidR="00A823BF" w:rsidRDefault="00A823BF" w:rsidP="00A823BF">
      <w:pPr>
        <w:contextualSpacing/>
        <w:jc w:val="center"/>
      </w:pPr>
    </w:p>
    <w:p w14:paraId="2F84E1FA" w14:textId="77777777" w:rsidR="00A823BF" w:rsidRDefault="00A823BF" w:rsidP="00A823BF">
      <w:pPr>
        <w:contextualSpacing/>
        <w:jc w:val="center"/>
      </w:pPr>
    </w:p>
    <w:p w14:paraId="17DE0652" w14:textId="77777777" w:rsidR="00A823BF" w:rsidRDefault="00A823BF" w:rsidP="00A823BF">
      <w:pPr>
        <w:contextualSpacing/>
        <w:jc w:val="center"/>
      </w:pPr>
    </w:p>
    <w:p w14:paraId="3BA52ABE" w14:textId="77777777" w:rsidR="00A823BF" w:rsidRDefault="00A823BF" w:rsidP="00A823BF">
      <w:pPr>
        <w:contextualSpacing/>
        <w:jc w:val="center"/>
      </w:pPr>
    </w:p>
    <w:p w14:paraId="4A658248" w14:textId="77777777" w:rsidR="006900CA" w:rsidRDefault="006900CA" w:rsidP="00A823BF">
      <w:pPr>
        <w:contextualSpacing/>
        <w:jc w:val="center"/>
      </w:pPr>
    </w:p>
    <w:p w14:paraId="3343D408" w14:textId="77777777" w:rsidR="006900CA" w:rsidRDefault="006900CA" w:rsidP="00A823BF">
      <w:pPr>
        <w:contextualSpacing/>
        <w:jc w:val="center"/>
      </w:pPr>
    </w:p>
    <w:p w14:paraId="4C2A0282" w14:textId="77777777" w:rsidR="00A823BF" w:rsidRDefault="00A823BF" w:rsidP="00A823BF">
      <w:pPr>
        <w:contextualSpacing/>
        <w:jc w:val="center"/>
      </w:pPr>
    </w:p>
    <w:p w14:paraId="02AF19A2" w14:textId="77777777" w:rsidR="00A823BF" w:rsidRDefault="00A823BF" w:rsidP="00A823BF">
      <w:pPr>
        <w:contextualSpacing/>
        <w:jc w:val="center"/>
      </w:pPr>
    </w:p>
    <w:p w14:paraId="12771E9E" w14:textId="77777777" w:rsidR="00A823BF" w:rsidRDefault="00A823BF" w:rsidP="00A823BF">
      <w:pPr>
        <w:contextualSpacing/>
        <w:jc w:val="center"/>
      </w:pPr>
    </w:p>
    <w:p w14:paraId="7EDE40CE" w14:textId="77777777" w:rsidR="006044F2" w:rsidRPr="00A46F17" w:rsidRDefault="006044F2" w:rsidP="00A823BF">
      <w:pPr>
        <w:contextualSpacing/>
        <w:jc w:val="center"/>
      </w:pPr>
      <w:r w:rsidRPr="00A46F17">
        <w:t>CONTENTS</w:t>
      </w:r>
    </w:p>
    <w:p w14:paraId="2F691287" w14:textId="77777777" w:rsidR="006044F2" w:rsidRPr="00A46F17" w:rsidRDefault="006044F2" w:rsidP="00A823BF">
      <w:pPr>
        <w:spacing w:line="360" w:lineRule="auto"/>
        <w:contextualSpacing/>
        <w:jc w:val="center"/>
      </w:pPr>
    </w:p>
    <w:p w14:paraId="6CF889E6" w14:textId="77777777" w:rsidR="006044F2" w:rsidRPr="00A46F17" w:rsidRDefault="006044F2" w:rsidP="00A823BF">
      <w:pPr>
        <w:pStyle w:val="ListParagraph"/>
        <w:numPr>
          <w:ilvl w:val="0"/>
          <w:numId w:val="1"/>
        </w:numPr>
        <w:spacing w:line="360" w:lineRule="auto"/>
      </w:pPr>
      <w:r w:rsidRPr="00A46F17">
        <w:t>Introduction</w:t>
      </w:r>
    </w:p>
    <w:p w14:paraId="15CF39FD" w14:textId="77777777" w:rsidR="003265E1" w:rsidRPr="00A46F17" w:rsidRDefault="00FE108D" w:rsidP="00A823BF">
      <w:pPr>
        <w:pStyle w:val="ListParagraph"/>
        <w:numPr>
          <w:ilvl w:val="0"/>
          <w:numId w:val="1"/>
        </w:numPr>
        <w:spacing w:line="360" w:lineRule="auto"/>
      </w:pPr>
      <w:r w:rsidRPr="00A46F17">
        <w:t>Audit Procedures and Administrative Items</w:t>
      </w:r>
    </w:p>
    <w:p w14:paraId="49F05515" w14:textId="77777777" w:rsidR="003265E1" w:rsidRPr="00A46F17" w:rsidRDefault="003265E1" w:rsidP="00A823BF">
      <w:pPr>
        <w:pStyle w:val="ListParagraph"/>
        <w:numPr>
          <w:ilvl w:val="0"/>
          <w:numId w:val="1"/>
        </w:numPr>
        <w:spacing w:after="0" w:line="360" w:lineRule="auto"/>
      </w:pPr>
      <w:r w:rsidRPr="00A46F17">
        <w:t>Contract</w:t>
      </w:r>
      <w:r w:rsidR="008666B9" w:rsidRPr="00A46F17">
        <w:t>/Work Order</w:t>
      </w:r>
      <w:r w:rsidRPr="00A46F17">
        <w:t xml:space="preserve"> Process </w:t>
      </w:r>
    </w:p>
    <w:p w14:paraId="23FCECFC" w14:textId="77777777" w:rsidR="003265E1" w:rsidRPr="00A46F17" w:rsidRDefault="003265E1" w:rsidP="00A823BF">
      <w:pPr>
        <w:pStyle w:val="ListParagraph"/>
        <w:numPr>
          <w:ilvl w:val="0"/>
          <w:numId w:val="1"/>
        </w:numPr>
        <w:spacing w:after="0" w:line="360" w:lineRule="auto"/>
      </w:pPr>
      <w:r w:rsidRPr="00A46F17">
        <w:t>Contract Reimbursement Methods</w:t>
      </w:r>
    </w:p>
    <w:p w14:paraId="391C37AB" w14:textId="77777777" w:rsidR="00E73404" w:rsidRPr="00A46F17" w:rsidRDefault="00EF5546" w:rsidP="00A823BF">
      <w:pPr>
        <w:pStyle w:val="ListParagraph"/>
        <w:numPr>
          <w:ilvl w:val="0"/>
          <w:numId w:val="1"/>
        </w:numPr>
        <w:spacing w:line="360" w:lineRule="auto"/>
      </w:pPr>
      <w:r w:rsidRPr="00A46F17">
        <w:t xml:space="preserve">Audit </w:t>
      </w:r>
      <w:r w:rsidR="00E13992">
        <w:t xml:space="preserve">Invoice </w:t>
      </w:r>
      <w:r w:rsidRPr="00A46F17">
        <w:t>Procedure</w:t>
      </w:r>
    </w:p>
    <w:p w14:paraId="0A9076D6" w14:textId="77777777" w:rsidR="00436ADA" w:rsidRDefault="00436ADA" w:rsidP="00A823BF">
      <w:pPr>
        <w:pStyle w:val="ListParagraph"/>
        <w:numPr>
          <w:ilvl w:val="0"/>
          <w:numId w:val="1"/>
        </w:numPr>
        <w:spacing w:line="360" w:lineRule="auto"/>
      </w:pPr>
      <w:r w:rsidRPr="00A46F17">
        <w:t>True-Up Process</w:t>
      </w:r>
    </w:p>
    <w:p w14:paraId="632BAFCE" w14:textId="77777777" w:rsidR="00623C14" w:rsidRPr="00623C14" w:rsidRDefault="00623C14" w:rsidP="00A823BF">
      <w:pPr>
        <w:pStyle w:val="ListParagraph"/>
        <w:numPr>
          <w:ilvl w:val="0"/>
          <w:numId w:val="1"/>
        </w:numPr>
        <w:spacing w:before="100" w:beforeAutospacing="1" w:after="100" w:afterAutospacing="1" w:line="360" w:lineRule="auto"/>
        <w:rPr>
          <w:rFonts w:eastAsia="Times New Roman" w:cs="Arial"/>
          <w:lang w:val="en"/>
        </w:rPr>
      </w:pPr>
      <w:r w:rsidRPr="00623C14">
        <w:t>Closing Processes for Contracts and Work Orders</w:t>
      </w:r>
    </w:p>
    <w:p w14:paraId="1E04574B" w14:textId="77777777" w:rsidR="00AE1FFD" w:rsidRPr="00A46F17" w:rsidRDefault="00DF1754" w:rsidP="00A823BF">
      <w:pPr>
        <w:pStyle w:val="ListParagraph"/>
        <w:numPr>
          <w:ilvl w:val="0"/>
          <w:numId w:val="1"/>
        </w:numPr>
        <w:spacing w:line="360" w:lineRule="auto"/>
      </w:pPr>
      <w:r w:rsidRPr="00A46F17">
        <w:t>Federal Grant Subrecipient Monitoring</w:t>
      </w:r>
    </w:p>
    <w:p w14:paraId="2795897A" w14:textId="77777777" w:rsidR="00756B7D" w:rsidRPr="00756B7D" w:rsidRDefault="00756B7D" w:rsidP="00A823BF">
      <w:pPr>
        <w:pStyle w:val="ListParagraph"/>
        <w:numPr>
          <w:ilvl w:val="0"/>
          <w:numId w:val="1"/>
        </w:numPr>
        <w:spacing w:before="100" w:beforeAutospacing="1" w:after="100" w:afterAutospacing="1" w:line="360" w:lineRule="auto"/>
        <w:rPr>
          <w:rFonts w:eastAsia="Times New Roman" w:cs="Arial"/>
          <w:lang w:val="en"/>
        </w:rPr>
      </w:pPr>
      <w:r>
        <w:rPr>
          <w:rFonts w:eastAsia="Times New Roman" w:cs="Arial"/>
          <w:lang w:val="en"/>
        </w:rPr>
        <w:t>Single Audit Management Decision Process</w:t>
      </w:r>
    </w:p>
    <w:p w14:paraId="2EC7CDC3" w14:textId="77777777" w:rsidR="00D24568" w:rsidRPr="000B02C0" w:rsidRDefault="00D24568" w:rsidP="00A823BF">
      <w:pPr>
        <w:pStyle w:val="ListParagraph"/>
        <w:numPr>
          <w:ilvl w:val="0"/>
          <w:numId w:val="1"/>
        </w:numPr>
        <w:spacing w:before="100" w:beforeAutospacing="1" w:after="100" w:afterAutospacing="1" w:line="360" w:lineRule="auto"/>
        <w:rPr>
          <w:rFonts w:eastAsia="Times New Roman" w:cs="Arial"/>
          <w:lang w:val="en"/>
        </w:rPr>
      </w:pPr>
      <w:r w:rsidRPr="00A46F17">
        <w:rPr>
          <w:rFonts w:eastAsia="Times New Roman" w:cs="Arial"/>
          <w:bCs/>
          <w:lang w:val="en"/>
        </w:rPr>
        <w:t>Railroad Reviews</w:t>
      </w:r>
    </w:p>
    <w:p w14:paraId="422D6D68" w14:textId="1D0D45FC" w:rsidR="000B02C0" w:rsidRPr="00623C14" w:rsidRDefault="00675151" w:rsidP="00A823BF">
      <w:pPr>
        <w:pStyle w:val="ListParagraph"/>
        <w:numPr>
          <w:ilvl w:val="0"/>
          <w:numId w:val="1"/>
        </w:numPr>
        <w:spacing w:before="100" w:beforeAutospacing="1" w:after="100" w:afterAutospacing="1" w:line="360" w:lineRule="auto"/>
        <w:rPr>
          <w:rFonts w:eastAsia="Times New Roman" w:cs="Arial"/>
          <w:lang w:val="en"/>
        </w:rPr>
      </w:pPr>
      <w:r>
        <w:rPr>
          <w:rFonts w:eastAsia="Times New Roman" w:cs="Arial"/>
          <w:bCs/>
          <w:lang w:val="en"/>
        </w:rPr>
        <w:t>State</w:t>
      </w:r>
      <w:r w:rsidR="000B02C0">
        <w:rPr>
          <w:rFonts w:eastAsia="Times New Roman" w:cs="Arial"/>
          <w:bCs/>
          <w:lang w:val="en"/>
        </w:rPr>
        <w:t xml:space="preserve"> Grants</w:t>
      </w:r>
    </w:p>
    <w:p w14:paraId="63CB1821" w14:textId="77777777" w:rsidR="007B5E71" w:rsidRPr="00A46F17" w:rsidRDefault="000B164E" w:rsidP="00A823BF">
      <w:pPr>
        <w:pStyle w:val="ListParagraph"/>
        <w:numPr>
          <w:ilvl w:val="0"/>
          <w:numId w:val="1"/>
        </w:numPr>
        <w:spacing w:after="0" w:line="360" w:lineRule="auto"/>
      </w:pPr>
      <w:r w:rsidRPr="00A46F17">
        <w:t>Links</w:t>
      </w:r>
    </w:p>
    <w:p w14:paraId="016992AB" w14:textId="64475D06" w:rsidR="004F50B8" w:rsidRPr="00A46F17" w:rsidRDefault="000B164E" w:rsidP="00A823BF">
      <w:pPr>
        <w:pStyle w:val="ListParagraph"/>
        <w:numPr>
          <w:ilvl w:val="0"/>
          <w:numId w:val="1"/>
        </w:numPr>
        <w:spacing w:after="0" w:line="360" w:lineRule="auto"/>
      </w:pPr>
      <w:r w:rsidRPr="00A46F17">
        <w:t xml:space="preserve">Audits </w:t>
      </w:r>
      <w:r w:rsidR="00A5509C">
        <w:t>Team</w:t>
      </w:r>
    </w:p>
    <w:p w14:paraId="4A2C5415" w14:textId="77777777" w:rsidR="00AC0E1B" w:rsidRPr="00A46F17" w:rsidRDefault="00AC0E1B" w:rsidP="00A823BF">
      <w:pPr>
        <w:pStyle w:val="ListParagraph"/>
        <w:numPr>
          <w:ilvl w:val="0"/>
          <w:numId w:val="1"/>
        </w:numPr>
        <w:spacing w:after="0" w:line="360" w:lineRule="auto"/>
      </w:pPr>
      <w:r w:rsidRPr="00A46F17">
        <w:t>Definitions</w:t>
      </w:r>
    </w:p>
    <w:p w14:paraId="21A278AE" w14:textId="77777777" w:rsidR="003265E1" w:rsidRPr="00A46F17" w:rsidRDefault="003265E1" w:rsidP="00A823BF">
      <w:pPr>
        <w:pStyle w:val="ListParagraph"/>
      </w:pPr>
    </w:p>
    <w:p w14:paraId="70FC825A" w14:textId="77777777" w:rsidR="003265E1" w:rsidRPr="00A46F17" w:rsidRDefault="003265E1" w:rsidP="00A823BF">
      <w:pPr>
        <w:pStyle w:val="ListParagraph"/>
        <w:spacing w:after="0" w:line="240" w:lineRule="auto"/>
        <w:ind w:left="2160"/>
      </w:pPr>
    </w:p>
    <w:p w14:paraId="22219A0D" w14:textId="77777777" w:rsidR="003265E1" w:rsidRPr="00A46F17" w:rsidRDefault="003265E1" w:rsidP="00A823BF">
      <w:pPr>
        <w:pStyle w:val="ListParagraph"/>
        <w:ind w:left="2160"/>
        <w:rPr>
          <w:b/>
          <w:sz w:val="28"/>
          <w:szCs w:val="28"/>
        </w:rPr>
      </w:pPr>
    </w:p>
    <w:p w14:paraId="7E1FB92A" w14:textId="77777777" w:rsidR="006044F2" w:rsidRPr="00A46F17" w:rsidRDefault="006044F2" w:rsidP="00A823BF">
      <w:pPr>
        <w:spacing w:line="480" w:lineRule="auto"/>
        <w:contextualSpacing/>
      </w:pPr>
    </w:p>
    <w:p w14:paraId="220F754C" w14:textId="77777777" w:rsidR="006044F2" w:rsidRPr="00A46F17" w:rsidRDefault="006044F2" w:rsidP="00A823BF">
      <w:pPr>
        <w:spacing w:line="480" w:lineRule="auto"/>
        <w:contextualSpacing/>
      </w:pPr>
    </w:p>
    <w:p w14:paraId="4613B3F5" w14:textId="77777777" w:rsidR="006044F2" w:rsidRPr="00A46F17" w:rsidRDefault="006044F2" w:rsidP="00A823BF">
      <w:pPr>
        <w:spacing w:line="480" w:lineRule="auto"/>
        <w:contextualSpacing/>
      </w:pPr>
    </w:p>
    <w:p w14:paraId="7CEBA58D" w14:textId="77777777" w:rsidR="006900CA" w:rsidRDefault="006900CA" w:rsidP="00A823BF">
      <w:pPr>
        <w:spacing w:line="480" w:lineRule="auto"/>
        <w:contextualSpacing/>
        <w:rPr>
          <w:b/>
          <w:sz w:val="28"/>
          <w:szCs w:val="28"/>
        </w:rPr>
      </w:pPr>
    </w:p>
    <w:p w14:paraId="773B1379" w14:textId="77777777" w:rsidR="006044F2" w:rsidRPr="00A46F17" w:rsidRDefault="00AC0E1B" w:rsidP="00A823BF">
      <w:pPr>
        <w:spacing w:line="480" w:lineRule="auto"/>
        <w:contextualSpacing/>
        <w:rPr>
          <w:b/>
          <w:sz w:val="28"/>
          <w:szCs w:val="28"/>
        </w:rPr>
      </w:pPr>
      <w:r w:rsidRPr="00A46F17">
        <w:rPr>
          <w:b/>
          <w:sz w:val="28"/>
          <w:szCs w:val="28"/>
        </w:rPr>
        <w:lastRenderedPageBreak/>
        <w:t>I</w:t>
      </w:r>
      <w:r w:rsidR="006044F2" w:rsidRPr="00A46F17">
        <w:rPr>
          <w:b/>
          <w:sz w:val="28"/>
          <w:szCs w:val="28"/>
        </w:rPr>
        <w:t>. Introduction</w:t>
      </w:r>
    </w:p>
    <w:p w14:paraId="3066EF89" w14:textId="77777777" w:rsidR="00FF07D6" w:rsidRDefault="006D19E0" w:rsidP="00A823BF">
      <w:pPr>
        <w:contextualSpacing/>
      </w:pPr>
      <w:r>
        <w:rPr>
          <w:lang w:val="en"/>
        </w:rPr>
        <w:t>South Dakota Audits ensure costs are paid in compliance with Federal and State laws, rules, and regulations. The audits office also verifies that entities are properly following the guidelines of their contracts.</w:t>
      </w:r>
      <w:r w:rsidR="00A85CDA">
        <w:rPr>
          <w:lang w:val="en"/>
        </w:rPr>
        <w:t xml:space="preserve"> </w:t>
      </w:r>
      <w:r w:rsidR="00A85CDA">
        <w:t>This manual</w:t>
      </w:r>
      <w:r w:rsidR="00A85CDA" w:rsidRPr="00A46F17">
        <w:t xml:space="preserve"> provides assurance to audit management that the final product meets with federa</w:t>
      </w:r>
      <w:r w:rsidR="00884501">
        <w:t xml:space="preserve">l and departmental requirements </w:t>
      </w:r>
      <w:r w:rsidR="00A85CDA" w:rsidRPr="00A46F17">
        <w:t>and applicable professional audit standards.</w:t>
      </w:r>
    </w:p>
    <w:p w14:paraId="780027DE" w14:textId="77777777" w:rsidR="00261FC6" w:rsidRDefault="00261FC6" w:rsidP="00A823BF">
      <w:pPr>
        <w:contextualSpacing/>
        <w:rPr>
          <w:lang w:val="en"/>
        </w:rPr>
      </w:pPr>
    </w:p>
    <w:p w14:paraId="39066C54" w14:textId="77777777" w:rsidR="00674468" w:rsidRDefault="00674468" w:rsidP="00A823BF">
      <w:pPr>
        <w:contextualSpacing/>
      </w:pPr>
      <w:r w:rsidRPr="00A46F17">
        <w:t xml:space="preserve">The </w:t>
      </w:r>
      <w:r w:rsidR="00A85CDA">
        <w:t>Audit Procedures M</w:t>
      </w:r>
      <w:r w:rsidRPr="00A46F17">
        <w:t>anual provide</w:t>
      </w:r>
      <w:r w:rsidR="00A85CDA">
        <w:t>s</w:t>
      </w:r>
      <w:r w:rsidRPr="00A46F17">
        <w:t xml:space="preserve"> guidance to the Audit staff regarding day-to-day operations of the Audit Office.  </w:t>
      </w:r>
      <w:r w:rsidR="00A85CDA">
        <w:t>It also</w:t>
      </w:r>
      <w:r w:rsidRPr="00A46F17">
        <w:t xml:space="preserve"> outlines standards of acceptable performance and duties related to the performance of audit work</w:t>
      </w:r>
      <w:r w:rsidR="00A85CDA">
        <w:t xml:space="preserve"> and are defined to contribute toward achievement of the mission and objectives for the SDDOT</w:t>
      </w:r>
      <w:r w:rsidRPr="00A46F17">
        <w:t>.  References are provided to applicable audit programs and other aud</w:t>
      </w:r>
      <w:r w:rsidR="00A85CDA">
        <w:t>it guidelines</w:t>
      </w:r>
      <w:r w:rsidRPr="00A46F17">
        <w:t xml:space="preserve">.  </w:t>
      </w:r>
    </w:p>
    <w:p w14:paraId="4676B5F2" w14:textId="77777777" w:rsidR="00406636" w:rsidRDefault="00406636" w:rsidP="00A823BF">
      <w:pPr>
        <w:contextualSpacing/>
      </w:pPr>
    </w:p>
    <w:p w14:paraId="532EE02D" w14:textId="77777777" w:rsidR="00406636" w:rsidRDefault="00406636" w:rsidP="00A823BF">
      <w:pPr>
        <w:contextualSpacing/>
      </w:pPr>
      <w:r>
        <w:t>Audits is also responsible for ensuring the Department of Transportation follows the internal written procedures, such as the Consultant Services Manual, to create cohesion within the department.</w:t>
      </w:r>
    </w:p>
    <w:p w14:paraId="485B0154" w14:textId="77777777" w:rsidR="00A823BF" w:rsidRDefault="00A823BF" w:rsidP="00A823BF">
      <w:pPr>
        <w:contextualSpacing/>
      </w:pPr>
    </w:p>
    <w:p w14:paraId="664ECB54" w14:textId="77777777" w:rsidR="006044F2" w:rsidRPr="00A46F17" w:rsidRDefault="003265E1" w:rsidP="00A823BF">
      <w:pPr>
        <w:contextualSpacing/>
        <w:rPr>
          <w:b/>
          <w:sz w:val="28"/>
          <w:szCs w:val="28"/>
        </w:rPr>
      </w:pPr>
      <w:r w:rsidRPr="00A46F17">
        <w:rPr>
          <w:b/>
          <w:sz w:val="28"/>
          <w:szCs w:val="28"/>
        </w:rPr>
        <w:t xml:space="preserve">II. </w:t>
      </w:r>
      <w:r w:rsidR="00FE108D" w:rsidRPr="00A46F17">
        <w:rPr>
          <w:b/>
          <w:sz w:val="28"/>
          <w:szCs w:val="28"/>
        </w:rPr>
        <w:t>Audit Procedures and Administrative Items</w:t>
      </w:r>
    </w:p>
    <w:p w14:paraId="77DB5138" w14:textId="77777777" w:rsidR="004C7FDF" w:rsidRPr="004C7FDF" w:rsidRDefault="004C7FDF" w:rsidP="00A823BF">
      <w:pPr>
        <w:spacing w:before="100" w:beforeAutospacing="1" w:after="100" w:afterAutospacing="1" w:line="240" w:lineRule="auto"/>
        <w:contextualSpacing/>
        <w:rPr>
          <w:rFonts w:eastAsia="Times New Roman" w:cs="Arial"/>
          <w:lang w:val="en"/>
        </w:rPr>
      </w:pPr>
      <w:r w:rsidRPr="004C7FDF">
        <w:rPr>
          <w:rFonts w:eastAsia="Times New Roman" w:cs="Arial"/>
          <w:lang w:val="en"/>
        </w:rPr>
        <w:t>The following types of audits are performed:</w:t>
      </w:r>
    </w:p>
    <w:p w14:paraId="33C7CD47" w14:textId="77777777" w:rsidR="004C7FDF" w:rsidRPr="004C7FDF" w:rsidRDefault="004C7FDF" w:rsidP="00A823BF">
      <w:pPr>
        <w:spacing w:before="100" w:beforeAutospacing="1" w:after="100" w:afterAutospacing="1" w:line="240" w:lineRule="auto"/>
        <w:contextualSpacing/>
        <w:rPr>
          <w:rFonts w:eastAsia="Times New Roman" w:cs="Arial"/>
          <w:b/>
          <w:lang w:val="en"/>
        </w:rPr>
      </w:pPr>
      <w:r w:rsidRPr="004C7FDF">
        <w:rPr>
          <w:rFonts w:eastAsia="Times New Roman" w:cs="Arial"/>
          <w:b/>
          <w:bCs/>
          <w:lang w:val="en"/>
        </w:rPr>
        <w:t>Continuous Audit</w:t>
      </w:r>
    </w:p>
    <w:p w14:paraId="131AE10E" w14:textId="77777777" w:rsidR="004C7FDF" w:rsidRPr="004C7FDF" w:rsidRDefault="004C7FDF" w:rsidP="00690620">
      <w:pPr>
        <w:pStyle w:val="ListParagraph"/>
        <w:numPr>
          <w:ilvl w:val="0"/>
          <w:numId w:val="31"/>
        </w:numPr>
        <w:spacing w:before="100" w:beforeAutospacing="1" w:after="100" w:afterAutospacing="1" w:line="240" w:lineRule="auto"/>
        <w:rPr>
          <w:rFonts w:eastAsia="Times New Roman" w:cs="Arial"/>
          <w:lang w:val="en"/>
        </w:rPr>
      </w:pPr>
      <w:r w:rsidRPr="004C7FDF">
        <w:rPr>
          <w:rFonts w:eastAsia="Times New Roman" w:cs="Arial"/>
          <w:lang w:val="en"/>
        </w:rPr>
        <w:t>Reviews of ag</w:t>
      </w:r>
      <w:r w:rsidR="0004607B">
        <w:rPr>
          <w:rFonts w:eastAsia="Times New Roman" w:cs="Arial"/>
          <w:lang w:val="en"/>
        </w:rPr>
        <w:t>reements prior to authorization</w:t>
      </w:r>
      <w:r w:rsidRPr="004C7FDF">
        <w:rPr>
          <w:rFonts w:eastAsia="Times New Roman" w:cs="Arial"/>
          <w:lang w:val="en"/>
        </w:rPr>
        <w:t xml:space="preserve"> to determine if all necessary information is included to comply with Federal and State Regulations.</w:t>
      </w:r>
    </w:p>
    <w:p w14:paraId="09389BC6" w14:textId="77777777" w:rsidR="004C7FDF" w:rsidRPr="004C7FDF" w:rsidRDefault="004C7FDF" w:rsidP="00690620">
      <w:pPr>
        <w:pStyle w:val="ListParagraph"/>
        <w:numPr>
          <w:ilvl w:val="0"/>
          <w:numId w:val="31"/>
        </w:numPr>
        <w:spacing w:before="100" w:beforeAutospacing="1" w:after="100" w:afterAutospacing="1" w:line="240" w:lineRule="auto"/>
        <w:rPr>
          <w:rFonts w:eastAsia="Times New Roman" w:cs="Arial"/>
          <w:lang w:val="en"/>
        </w:rPr>
      </w:pPr>
      <w:r w:rsidRPr="004C7FDF">
        <w:rPr>
          <w:rFonts w:eastAsia="Times New Roman" w:cs="Arial"/>
          <w:lang w:val="en"/>
        </w:rPr>
        <w:t>Reviews of vouchers for compliance with Federal and State regulations as well as the terms of the agreement.</w:t>
      </w:r>
    </w:p>
    <w:p w14:paraId="5BBCAB8F" w14:textId="77777777" w:rsidR="004C7FDF" w:rsidRPr="004C7FDF" w:rsidRDefault="004C7FDF" w:rsidP="00A823BF">
      <w:pPr>
        <w:spacing w:before="100" w:beforeAutospacing="1" w:after="100" w:afterAutospacing="1" w:line="240" w:lineRule="auto"/>
        <w:contextualSpacing/>
        <w:rPr>
          <w:rFonts w:eastAsia="Times New Roman" w:cs="Arial"/>
          <w:b/>
          <w:lang w:val="en"/>
        </w:rPr>
      </w:pPr>
      <w:r w:rsidRPr="004C7FDF">
        <w:rPr>
          <w:rFonts w:eastAsia="Times New Roman" w:cs="Arial"/>
          <w:b/>
          <w:bCs/>
          <w:lang w:val="en"/>
        </w:rPr>
        <w:t>Single Audit Review</w:t>
      </w:r>
    </w:p>
    <w:p w14:paraId="700E625D" w14:textId="77777777" w:rsidR="004C7FDF" w:rsidRPr="004C7FDF" w:rsidRDefault="004C7FDF" w:rsidP="00A823BF">
      <w:pPr>
        <w:spacing w:before="100" w:beforeAutospacing="1" w:after="100" w:afterAutospacing="1" w:line="240" w:lineRule="auto"/>
        <w:contextualSpacing/>
        <w:rPr>
          <w:rFonts w:eastAsia="Times New Roman" w:cs="Arial"/>
          <w:lang w:val="en"/>
        </w:rPr>
      </w:pPr>
      <w:r w:rsidRPr="004C7FDF">
        <w:rPr>
          <w:rFonts w:eastAsia="Times New Roman" w:cs="Arial"/>
          <w:lang w:val="en"/>
        </w:rPr>
        <w:t>A review of an audit performed by an outside auditing firm, or Legislative Audit:</w:t>
      </w:r>
    </w:p>
    <w:p w14:paraId="72E08CAF" w14:textId="77777777" w:rsidR="004C7FDF" w:rsidRPr="004C7FDF" w:rsidRDefault="004C7FDF" w:rsidP="00690620">
      <w:pPr>
        <w:pStyle w:val="ListParagraph"/>
        <w:numPr>
          <w:ilvl w:val="0"/>
          <w:numId w:val="32"/>
        </w:numPr>
        <w:spacing w:before="100" w:beforeAutospacing="1" w:after="100" w:afterAutospacing="1" w:line="240" w:lineRule="auto"/>
        <w:rPr>
          <w:rFonts w:eastAsia="Times New Roman" w:cs="Arial"/>
          <w:lang w:val="en"/>
        </w:rPr>
      </w:pPr>
      <w:r w:rsidRPr="004C7FDF">
        <w:rPr>
          <w:rFonts w:eastAsia="Times New Roman" w:cs="Arial"/>
          <w:lang w:val="en"/>
        </w:rPr>
        <w:t>To consider if the sub recipient audit necessitates adjustment of program records.</w:t>
      </w:r>
    </w:p>
    <w:p w14:paraId="2B81FC01" w14:textId="77777777" w:rsidR="004C7FDF" w:rsidRDefault="004C7FDF" w:rsidP="00690620">
      <w:pPr>
        <w:pStyle w:val="ListParagraph"/>
        <w:numPr>
          <w:ilvl w:val="0"/>
          <w:numId w:val="32"/>
        </w:numPr>
        <w:spacing w:before="100" w:beforeAutospacing="1" w:after="100" w:afterAutospacing="1" w:line="240" w:lineRule="auto"/>
        <w:rPr>
          <w:rFonts w:eastAsia="Times New Roman" w:cs="Arial"/>
          <w:lang w:val="en"/>
        </w:rPr>
      </w:pPr>
      <w:r w:rsidRPr="004C7FDF">
        <w:rPr>
          <w:rFonts w:eastAsia="Times New Roman" w:cs="Arial"/>
          <w:lang w:val="en"/>
        </w:rPr>
        <w:t>To ensure that the sub recipients have met the audit requirements of the 2 CFR Part 200 for that fiscal year.</w:t>
      </w:r>
    </w:p>
    <w:p w14:paraId="34AD7187" w14:textId="77777777" w:rsidR="0075530B" w:rsidRDefault="0075530B" w:rsidP="00690620">
      <w:pPr>
        <w:pStyle w:val="ListParagraph"/>
        <w:numPr>
          <w:ilvl w:val="0"/>
          <w:numId w:val="32"/>
        </w:numPr>
        <w:spacing w:before="100" w:beforeAutospacing="1" w:after="100" w:afterAutospacing="1" w:line="240" w:lineRule="auto"/>
        <w:rPr>
          <w:rFonts w:eastAsia="Times New Roman" w:cs="Arial"/>
          <w:lang w:val="en"/>
        </w:rPr>
      </w:pPr>
      <w:r>
        <w:rPr>
          <w:rFonts w:eastAsia="Times New Roman" w:cs="Arial"/>
          <w:lang w:val="en"/>
        </w:rPr>
        <w:t>A single audit is required if the entity receives more than $750,000 in Federal funds per year.</w:t>
      </w:r>
    </w:p>
    <w:p w14:paraId="7CE92699" w14:textId="77777777" w:rsidR="0075530B" w:rsidRDefault="0075530B" w:rsidP="00690620">
      <w:pPr>
        <w:pStyle w:val="ListParagraph"/>
        <w:numPr>
          <w:ilvl w:val="0"/>
          <w:numId w:val="32"/>
        </w:numPr>
        <w:spacing w:before="100" w:beforeAutospacing="1" w:after="100" w:afterAutospacing="1" w:line="240" w:lineRule="auto"/>
        <w:rPr>
          <w:rFonts w:eastAsia="Times New Roman" w:cs="Arial"/>
          <w:lang w:val="en"/>
        </w:rPr>
      </w:pPr>
      <w:r>
        <w:rPr>
          <w:rFonts w:eastAsia="Times New Roman" w:cs="Arial"/>
          <w:lang w:val="en"/>
        </w:rPr>
        <w:t>Audits receives a report of the single audit and may follow up on any concerns.</w:t>
      </w:r>
    </w:p>
    <w:p w14:paraId="177AC4A1" w14:textId="77777777" w:rsidR="0075530B" w:rsidRPr="004C7FDF" w:rsidRDefault="0075530B" w:rsidP="00690620">
      <w:pPr>
        <w:pStyle w:val="ListParagraph"/>
        <w:numPr>
          <w:ilvl w:val="1"/>
          <w:numId w:val="32"/>
        </w:numPr>
        <w:spacing w:before="100" w:beforeAutospacing="1" w:after="100" w:afterAutospacing="1" w:line="240" w:lineRule="auto"/>
        <w:rPr>
          <w:rFonts w:eastAsia="Times New Roman" w:cs="Arial"/>
          <w:lang w:val="en"/>
        </w:rPr>
      </w:pPr>
      <w:r>
        <w:rPr>
          <w:rFonts w:eastAsia="Times New Roman" w:cs="Arial"/>
          <w:lang w:val="en"/>
        </w:rPr>
        <w:t>If any transit related findings are in the audit that effects title III B funds, the Department of Human Services must be notified.</w:t>
      </w:r>
    </w:p>
    <w:p w14:paraId="5BD61081" w14:textId="77777777" w:rsidR="004C7FDF" w:rsidRPr="004C7FDF" w:rsidRDefault="004C7FDF" w:rsidP="00A823BF">
      <w:pPr>
        <w:spacing w:before="100" w:beforeAutospacing="1" w:after="100" w:afterAutospacing="1" w:line="240" w:lineRule="auto"/>
        <w:contextualSpacing/>
        <w:rPr>
          <w:rFonts w:eastAsia="Times New Roman" w:cs="Arial"/>
          <w:b/>
          <w:bCs/>
          <w:lang w:val="en"/>
        </w:rPr>
      </w:pPr>
      <w:r w:rsidRPr="004C7FDF">
        <w:rPr>
          <w:rFonts w:eastAsia="Times New Roman" w:cs="Arial"/>
          <w:b/>
          <w:bCs/>
          <w:lang w:val="en"/>
        </w:rPr>
        <w:t>Indirect Cost Rate Review</w:t>
      </w:r>
    </w:p>
    <w:p w14:paraId="3E4411A9" w14:textId="77777777" w:rsidR="004C7FDF" w:rsidRDefault="004C7FDF" w:rsidP="00690620">
      <w:pPr>
        <w:pStyle w:val="ListParagraph"/>
        <w:numPr>
          <w:ilvl w:val="0"/>
          <w:numId w:val="33"/>
        </w:numPr>
        <w:spacing w:before="100" w:beforeAutospacing="1" w:after="100" w:afterAutospacing="1" w:line="240" w:lineRule="auto"/>
        <w:rPr>
          <w:rFonts w:eastAsia="Times New Roman" w:cs="Arial"/>
          <w:bCs/>
          <w:lang w:val="en"/>
        </w:rPr>
      </w:pPr>
      <w:r w:rsidRPr="004C7FDF">
        <w:rPr>
          <w:rFonts w:eastAsia="Times New Roman" w:cs="Arial"/>
          <w:bCs/>
          <w:lang w:val="en"/>
        </w:rPr>
        <w:t>An examination of the entity’s indirect cost rate for a specified period to ensure costs have been correctly measured and allocated.</w:t>
      </w:r>
    </w:p>
    <w:p w14:paraId="54665058" w14:textId="77777777" w:rsidR="006E1038" w:rsidRPr="006E1038" w:rsidRDefault="006E1038" w:rsidP="00690620">
      <w:pPr>
        <w:pStyle w:val="ListParagraph"/>
        <w:numPr>
          <w:ilvl w:val="1"/>
          <w:numId w:val="33"/>
        </w:numPr>
      </w:pPr>
      <w:r w:rsidRPr="006E1038">
        <w:t xml:space="preserve">Audits requires indirect cost rates to be updated on an annual basis in accordance with the consultant’s annual accounting period and in compliance with the Federal cost principles to maintain an approved provisional billing rate. In order to prevent any </w:t>
      </w:r>
      <w:r w:rsidRPr="006E1038">
        <w:lastRenderedPageBreak/>
        <w:t xml:space="preserve">preferential treatment, all consultants will be held to this standard and discouraged from using the same indirect cost rate throughout the term of a contract. </w:t>
      </w:r>
    </w:p>
    <w:p w14:paraId="74251289" w14:textId="77777777" w:rsidR="006E1038" w:rsidRPr="006E1038" w:rsidRDefault="006E1038" w:rsidP="006E1038">
      <w:pPr>
        <w:rPr>
          <w:color w:val="1F497D"/>
        </w:rPr>
      </w:pPr>
    </w:p>
    <w:p w14:paraId="4D45186A" w14:textId="77777777" w:rsidR="004C7FDF" w:rsidRPr="004C7FDF" w:rsidRDefault="004C7FDF" w:rsidP="00A823BF">
      <w:pPr>
        <w:spacing w:before="100" w:beforeAutospacing="1" w:after="100" w:afterAutospacing="1" w:line="240" w:lineRule="auto"/>
        <w:contextualSpacing/>
        <w:rPr>
          <w:rFonts w:eastAsia="Times New Roman" w:cs="Arial"/>
          <w:b/>
          <w:bCs/>
          <w:lang w:val="en"/>
        </w:rPr>
      </w:pPr>
      <w:r w:rsidRPr="004C7FDF">
        <w:rPr>
          <w:rFonts w:eastAsia="Times New Roman" w:cs="Arial"/>
          <w:b/>
          <w:bCs/>
          <w:lang w:val="en"/>
        </w:rPr>
        <w:t>Guidance</w:t>
      </w:r>
    </w:p>
    <w:p w14:paraId="6EC68414" w14:textId="77777777" w:rsidR="004C7FDF" w:rsidRPr="00E069FF" w:rsidRDefault="00E069FF" w:rsidP="00A823BF">
      <w:pPr>
        <w:spacing w:before="100" w:beforeAutospacing="1" w:after="100" w:afterAutospacing="1" w:line="240" w:lineRule="auto"/>
        <w:contextualSpacing/>
        <w:rPr>
          <w:rStyle w:val="Hyperlink"/>
          <w:rFonts w:eastAsia="Times New Roman" w:cs="Arial"/>
          <w:lang w:val="en"/>
        </w:rPr>
      </w:pPr>
      <w:r>
        <w:rPr>
          <w:rFonts w:eastAsia="Times New Roman" w:cs="Arial"/>
          <w:color w:val="0000FF"/>
          <w:u w:val="single"/>
          <w:lang w:val="en"/>
        </w:rPr>
        <w:fldChar w:fldCharType="begin"/>
      </w:r>
      <w:r w:rsidR="0047369A">
        <w:rPr>
          <w:rFonts w:eastAsia="Times New Roman" w:cs="Arial"/>
          <w:color w:val="0000FF"/>
          <w:u w:val="single"/>
          <w:lang w:val="en"/>
        </w:rPr>
        <w:instrText>HYPERLINK "https://www.ecfr.gov/cgi-bin/text-idx?tpl=/ecfrbrowse/Title48/48cfr31_main_02.tpl"</w:instrText>
      </w:r>
      <w:r>
        <w:rPr>
          <w:rFonts w:eastAsia="Times New Roman" w:cs="Arial"/>
          <w:color w:val="0000FF"/>
          <w:u w:val="single"/>
          <w:lang w:val="en"/>
        </w:rPr>
        <w:fldChar w:fldCharType="separate"/>
      </w:r>
      <w:r w:rsidR="004C7FDF" w:rsidRPr="00E069FF">
        <w:rPr>
          <w:rStyle w:val="Hyperlink"/>
          <w:rFonts w:eastAsia="Times New Roman" w:cs="Arial"/>
          <w:lang w:val="en"/>
        </w:rPr>
        <w:t>48 Code of Federal Regulations (CFR) Part 31 (FAR)</w:t>
      </w:r>
    </w:p>
    <w:p w14:paraId="50C5F0D8" w14:textId="77777777" w:rsidR="004C7FDF" w:rsidRPr="004C7FDF" w:rsidRDefault="00E069FF" w:rsidP="00A823BF">
      <w:pPr>
        <w:spacing w:before="100" w:beforeAutospacing="1" w:after="100" w:afterAutospacing="1" w:line="240" w:lineRule="auto"/>
        <w:contextualSpacing/>
        <w:rPr>
          <w:rFonts w:eastAsia="Times New Roman" w:cs="Arial"/>
          <w:lang w:val="en"/>
        </w:rPr>
      </w:pPr>
      <w:r>
        <w:rPr>
          <w:rFonts w:eastAsia="Times New Roman" w:cs="Arial"/>
          <w:color w:val="0000FF"/>
          <w:u w:val="single"/>
          <w:lang w:val="en"/>
        </w:rPr>
        <w:fldChar w:fldCharType="end"/>
      </w:r>
      <w:hyperlink r:id="rId5" w:history="1">
        <w:r w:rsidR="004C7FDF" w:rsidRPr="004C7FDF">
          <w:rPr>
            <w:rFonts w:eastAsia="Times New Roman" w:cs="Arial"/>
            <w:color w:val="0000FF"/>
            <w:u w:val="single"/>
            <w:lang w:val="en"/>
          </w:rPr>
          <w:t>23 CFR Part 172</w:t>
        </w:r>
      </w:hyperlink>
    </w:p>
    <w:p w14:paraId="54B578CB" w14:textId="77777777" w:rsidR="004C7FDF" w:rsidRPr="004C7FDF" w:rsidRDefault="00002A73" w:rsidP="00A823BF">
      <w:pPr>
        <w:spacing w:before="100" w:beforeAutospacing="1" w:after="100" w:afterAutospacing="1" w:line="240" w:lineRule="auto"/>
        <w:contextualSpacing/>
        <w:rPr>
          <w:rStyle w:val="Hyperlink"/>
          <w:rFonts w:eastAsia="Times New Roman" w:cs="Arial"/>
          <w:lang w:val="en"/>
        </w:rPr>
      </w:pPr>
      <w:hyperlink r:id="rId6" w:history="1">
        <w:r w:rsidR="004C7FDF" w:rsidRPr="004C7FDF">
          <w:rPr>
            <w:rStyle w:val="Hyperlink"/>
            <w:rFonts w:eastAsia="Times New Roman" w:cs="Arial"/>
            <w:lang w:val="en"/>
          </w:rPr>
          <w:t>2 CFR Part 200</w:t>
        </w:r>
      </w:hyperlink>
    </w:p>
    <w:p w14:paraId="50E7D3EB" w14:textId="77777777" w:rsidR="0047369A" w:rsidRDefault="00002A73" w:rsidP="00A823BF">
      <w:pPr>
        <w:spacing w:before="100" w:beforeAutospacing="1" w:after="100" w:afterAutospacing="1" w:line="240" w:lineRule="auto"/>
        <w:contextualSpacing/>
        <w:rPr>
          <w:rFonts w:eastAsia="Times New Roman" w:cs="Arial"/>
          <w:bCs/>
          <w:color w:val="0000FF"/>
          <w:u w:val="single"/>
          <w:lang w:val="en"/>
        </w:rPr>
      </w:pPr>
      <w:hyperlink r:id="rId7" w:history="1">
        <w:r w:rsidR="0047369A" w:rsidRPr="0047369A">
          <w:rPr>
            <w:rStyle w:val="Hyperlink"/>
            <w:rFonts w:eastAsia="Times New Roman" w:cs="Arial"/>
            <w:bCs/>
            <w:lang w:val="en"/>
          </w:rPr>
          <w:t>AASHTO</w:t>
        </w:r>
        <w:r w:rsidR="004C7FDF" w:rsidRPr="0047369A">
          <w:rPr>
            <w:rStyle w:val="Hyperlink"/>
            <w:rFonts w:eastAsia="Times New Roman" w:cs="Arial"/>
            <w:bCs/>
            <w:lang w:val="en"/>
          </w:rPr>
          <w:t xml:space="preserve"> Guide: </w:t>
        </w:r>
        <w:r w:rsidR="0047369A" w:rsidRPr="0047369A">
          <w:rPr>
            <w:rStyle w:val="Hyperlink"/>
            <w:rFonts w:eastAsia="Times New Roman" w:cs="Arial"/>
            <w:bCs/>
            <w:lang w:val="en"/>
          </w:rPr>
          <w:t>Uniform Audit &amp; Accounting Guide</w:t>
        </w:r>
      </w:hyperlink>
    </w:p>
    <w:p w14:paraId="68B9C5D8" w14:textId="77777777" w:rsidR="004C7FDF" w:rsidRPr="0047369A" w:rsidRDefault="00002A73" w:rsidP="00A823BF">
      <w:pPr>
        <w:spacing w:before="100" w:beforeAutospacing="1" w:after="100" w:afterAutospacing="1" w:line="240" w:lineRule="auto"/>
        <w:contextualSpacing/>
        <w:rPr>
          <w:rFonts w:eastAsia="Times New Roman" w:cs="Arial"/>
          <w:bCs/>
          <w:color w:val="0000FF"/>
          <w:u w:val="single"/>
          <w:lang w:val="en"/>
        </w:rPr>
      </w:pPr>
      <w:hyperlink r:id="rId8" w:history="1">
        <w:r w:rsidR="0047369A" w:rsidRPr="0047369A">
          <w:rPr>
            <w:rStyle w:val="Hyperlink"/>
            <w:rFonts w:eastAsia="Times New Roman" w:cs="Arial"/>
            <w:lang w:val="en"/>
          </w:rPr>
          <w:t>Prompt Payment Act</w:t>
        </w:r>
      </w:hyperlink>
    </w:p>
    <w:p w14:paraId="39E7E9C1" w14:textId="77777777" w:rsidR="00A823BF" w:rsidRPr="004C7FDF" w:rsidRDefault="00A823BF" w:rsidP="00A823BF">
      <w:pPr>
        <w:spacing w:before="100" w:beforeAutospacing="1" w:after="100" w:afterAutospacing="1" w:line="240" w:lineRule="auto"/>
        <w:contextualSpacing/>
        <w:rPr>
          <w:rFonts w:eastAsia="Times New Roman" w:cs="Arial"/>
          <w:lang w:val="en"/>
        </w:rPr>
      </w:pPr>
    </w:p>
    <w:p w14:paraId="10FF5560" w14:textId="77777777" w:rsidR="004C7FDF" w:rsidRDefault="004C7FDF" w:rsidP="00A823BF">
      <w:pPr>
        <w:contextualSpacing/>
      </w:pPr>
      <w:r w:rsidRPr="00A46F17">
        <w:t xml:space="preserve">The appropriate </w:t>
      </w:r>
      <w:r>
        <w:t>division d</w:t>
      </w:r>
      <w:r w:rsidRPr="00A46F17">
        <w:t>irector should be consulted if there are questions regarding these or other office procedures not covered with this Audit Procedures manual.</w:t>
      </w:r>
    </w:p>
    <w:p w14:paraId="2E7B098F" w14:textId="77777777" w:rsidR="004C7FDF" w:rsidRPr="00A46F17" w:rsidRDefault="004C7FDF" w:rsidP="00A823BF">
      <w:pPr>
        <w:contextualSpacing/>
      </w:pPr>
    </w:p>
    <w:p w14:paraId="412A89F1" w14:textId="77777777" w:rsidR="006768F9" w:rsidRDefault="006768F9" w:rsidP="00A823BF">
      <w:pPr>
        <w:spacing w:after="0" w:line="240" w:lineRule="auto"/>
        <w:contextualSpacing/>
        <w:rPr>
          <w:b/>
          <w:sz w:val="28"/>
          <w:szCs w:val="28"/>
        </w:rPr>
      </w:pPr>
      <w:r w:rsidRPr="00A46F17">
        <w:rPr>
          <w:b/>
          <w:sz w:val="28"/>
          <w:szCs w:val="28"/>
        </w:rPr>
        <w:t>III. Contract</w:t>
      </w:r>
      <w:r w:rsidR="008666B9" w:rsidRPr="00A46F17">
        <w:rPr>
          <w:b/>
          <w:sz w:val="28"/>
          <w:szCs w:val="28"/>
        </w:rPr>
        <w:t>/Work Order</w:t>
      </w:r>
      <w:r w:rsidRPr="00A46F17">
        <w:rPr>
          <w:b/>
          <w:sz w:val="28"/>
          <w:szCs w:val="28"/>
        </w:rPr>
        <w:t xml:space="preserve"> Process </w:t>
      </w:r>
    </w:p>
    <w:p w14:paraId="17FAB7F9" w14:textId="77777777" w:rsidR="004A144A" w:rsidRDefault="004A144A" w:rsidP="00A823BF">
      <w:pPr>
        <w:spacing w:after="0" w:line="240" w:lineRule="auto"/>
        <w:contextualSpacing/>
        <w:rPr>
          <w:b/>
          <w:sz w:val="28"/>
          <w:szCs w:val="28"/>
        </w:rPr>
      </w:pPr>
    </w:p>
    <w:p w14:paraId="087081A2" w14:textId="77777777" w:rsidR="004A144A" w:rsidRPr="00450540" w:rsidRDefault="004A144A" w:rsidP="004A144A">
      <w:pPr>
        <w:spacing w:after="0" w:line="240" w:lineRule="auto"/>
        <w:contextualSpacing/>
        <w:rPr>
          <w:b/>
          <w:i/>
          <w:sz w:val="24"/>
          <w:szCs w:val="24"/>
        </w:rPr>
      </w:pPr>
      <w:r w:rsidRPr="00450540">
        <w:rPr>
          <w:rFonts w:cs="Tahoma"/>
          <w:b/>
          <w:i/>
          <w:sz w:val="24"/>
          <w:szCs w:val="24"/>
        </w:rPr>
        <w:t>Work Orders over $50,000 are subject to audit approval before the work order is signed.</w:t>
      </w:r>
    </w:p>
    <w:p w14:paraId="5F29E3D7" w14:textId="77777777" w:rsidR="006768F9" w:rsidRPr="00A46F17" w:rsidRDefault="006768F9" w:rsidP="00A823BF">
      <w:pPr>
        <w:spacing w:after="0" w:line="240" w:lineRule="auto"/>
        <w:contextualSpacing/>
        <w:rPr>
          <w:b/>
          <w:sz w:val="28"/>
          <w:szCs w:val="28"/>
        </w:rPr>
      </w:pPr>
    </w:p>
    <w:p w14:paraId="65168D97" w14:textId="77777777" w:rsidR="006768F9" w:rsidRPr="00A46F17" w:rsidRDefault="006768F9" w:rsidP="00A823BF">
      <w:pPr>
        <w:contextualSpacing/>
        <w:rPr>
          <w:b/>
        </w:rPr>
      </w:pPr>
      <w:r w:rsidRPr="00A46F17">
        <w:rPr>
          <w:b/>
        </w:rPr>
        <w:t>Required Contract Provisions</w:t>
      </w:r>
    </w:p>
    <w:p w14:paraId="2D42B592" w14:textId="77777777" w:rsidR="001E2838" w:rsidRPr="00A46F17" w:rsidRDefault="006768F9" w:rsidP="00A823BF">
      <w:pPr>
        <w:contextualSpacing/>
      </w:pPr>
      <w:r w:rsidRPr="00A46F17">
        <w:t xml:space="preserve">All contracts for Engineering and Engineering-related services must be awarded in accordance with the Brooks Act whenever Federal Funds are being used. This includes but is not limited to design services, construction administration and/or oversight, and testing services. All </w:t>
      </w:r>
      <w:r w:rsidR="004428D6" w:rsidRPr="00A46F17">
        <w:t xml:space="preserve">engineering contracts and </w:t>
      </w:r>
      <w:r w:rsidRPr="00A46F17">
        <w:t xml:space="preserve">work orders must follow the </w:t>
      </w:r>
      <w:hyperlink r:id="rId9" w:history="1">
        <w:r w:rsidR="0057640C" w:rsidRPr="003F2579">
          <w:rPr>
            <w:rStyle w:val="Hyperlink"/>
          </w:rPr>
          <w:t>Consultant</w:t>
        </w:r>
        <w:r w:rsidR="00053A1C">
          <w:rPr>
            <w:rStyle w:val="Hyperlink"/>
          </w:rPr>
          <w:t xml:space="preserve"> Services</w:t>
        </w:r>
        <w:r w:rsidR="0057640C" w:rsidRPr="003F2579">
          <w:rPr>
            <w:rStyle w:val="Hyperlink"/>
          </w:rPr>
          <w:t xml:space="preserve"> </w:t>
        </w:r>
        <w:r w:rsidR="003F2579" w:rsidRPr="003F2579">
          <w:rPr>
            <w:rStyle w:val="Hyperlink"/>
          </w:rPr>
          <w:t>Manual</w:t>
        </w:r>
      </w:hyperlink>
      <w:r w:rsidR="00FF07D6" w:rsidRPr="00A46F17">
        <w:t xml:space="preserve">. </w:t>
      </w:r>
    </w:p>
    <w:p w14:paraId="733C621A" w14:textId="77777777" w:rsidR="003F2579" w:rsidRDefault="003F2579" w:rsidP="00A823BF">
      <w:pPr>
        <w:spacing w:after="0" w:line="240" w:lineRule="auto"/>
        <w:contextualSpacing/>
        <w:rPr>
          <w:b/>
        </w:rPr>
      </w:pPr>
    </w:p>
    <w:p w14:paraId="6E8C64E5" w14:textId="77777777" w:rsidR="006768F9" w:rsidRPr="00A46F17" w:rsidRDefault="006768F9" w:rsidP="00A823BF">
      <w:pPr>
        <w:spacing w:after="0" w:line="240" w:lineRule="auto"/>
        <w:contextualSpacing/>
        <w:rPr>
          <w:b/>
        </w:rPr>
      </w:pPr>
      <w:r w:rsidRPr="00A46F17">
        <w:rPr>
          <w:b/>
        </w:rPr>
        <w:t>Initial Contract</w:t>
      </w:r>
      <w:r w:rsidR="00BC1569" w:rsidRPr="00A46F17">
        <w:rPr>
          <w:b/>
        </w:rPr>
        <w:t>/Work Order</w:t>
      </w:r>
      <w:r w:rsidRPr="00A46F17">
        <w:rPr>
          <w:b/>
        </w:rPr>
        <w:t xml:space="preserve"> Request</w:t>
      </w:r>
    </w:p>
    <w:p w14:paraId="1B07A34C" w14:textId="77777777" w:rsidR="006768F9" w:rsidRPr="00A46F17" w:rsidRDefault="006768F9" w:rsidP="00A823BF">
      <w:pPr>
        <w:spacing w:after="0" w:line="240" w:lineRule="auto"/>
        <w:contextualSpacing/>
        <w:rPr>
          <w:b/>
          <w:sz w:val="28"/>
          <w:szCs w:val="28"/>
        </w:rPr>
      </w:pPr>
    </w:p>
    <w:p w14:paraId="0F106910" w14:textId="77777777" w:rsidR="006768F9" w:rsidRPr="00A46F17" w:rsidRDefault="006768F9" w:rsidP="00A823BF">
      <w:pPr>
        <w:pStyle w:val="ListParagraph"/>
        <w:numPr>
          <w:ilvl w:val="0"/>
          <w:numId w:val="5"/>
        </w:numPr>
        <w:spacing w:after="0" w:line="240" w:lineRule="auto"/>
      </w:pPr>
      <w:r w:rsidRPr="00A46F17">
        <w:t>Determine need for consultant services</w:t>
      </w:r>
    </w:p>
    <w:p w14:paraId="039B451C" w14:textId="77777777" w:rsidR="006768F9" w:rsidRPr="00A46F17" w:rsidRDefault="006768F9" w:rsidP="00A823BF">
      <w:pPr>
        <w:pStyle w:val="ListParagraph"/>
        <w:numPr>
          <w:ilvl w:val="0"/>
          <w:numId w:val="5"/>
        </w:numPr>
        <w:spacing w:after="0" w:line="240" w:lineRule="auto"/>
      </w:pPr>
      <w:r w:rsidRPr="00A46F17">
        <w:t>Prepare scope of work</w:t>
      </w:r>
    </w:p>
    <w:p w14:paraId="76B702C8" w14:textId="77777777" w:rsidR="00DC7AA0" w:rsidRPr="00A46F17" w:rsidRDefault="006768F9" w:rsidP="00A823BF">
      <w:pPr>
        <w:pStyle w:val="ListParagraph"/>
        <w:numPr>
          <w:ilvl w:val="0"/>
          <w:numId w:val="5"/>
        </w:numPr>
        <w:spacing w:after="0" w:line="240" w:lineRule="auto"/>
      </w:pPr>
      <w:r w:rsidRPr="00A46F17">
        <w:t>Prepare technical analysis</w:t>
      </w:r>
    </w:p>
    <w:p w14:paraId="65F2BB06" w14:textId="77777777" w:rsidR="00DC7AA0" w:rsidRPr="00A46F17" w:rsidRDefault="00DC7AA0" w:rsidP="00A823BF">
      <w:pPr>
        <w:pStyle w:val="ListParagraph"/>
        <w:numPr>
          <w:ilvl w:val="0"/>
          <w:numId w:val="5"/>
        </w:numPr>
        <w:spacing w:after="0" w:line="240" w:lineRule="auto"/>
      </w:pPr>
      <w:r w:rsidRPr="00A46F17">
        <w:t>Prepare proposal screening criteria</w:t>
      </w:r>
    </w:p>
    <w:p w14:paraId="2BFDC580" w14:textId="77777777" w:rsidR="006768F9" w:rsidRPr="00A46F17" w:rsidRDefault="006768F9" w:rsidP="00A823BF">
      <w:pPr>
        <w:pStyle w:val="ListParagraph"/>
        <w:numPr>
          <w:ilvl w:val="0"/>
          <w:numId w:val="5"/>
        </w:numPr>
        <w:spacing w:after="0" w:line="240" w:lineRule="auto"/>
      </w:pPr>
      <w:r w:rsidRPr="00A46F17">
        <w:t>Request proposal from selected consultant(s)</w:t>
      </w:r>
    </w:p>
    <w:p w14:paraId="418E7DB1" w14:textId="77777777" w:rsidR="006768F9" w:rsidRPr="00A46F17" w:rsidRDefault="006768F9" w:rsidP="00A823BF">
      <w:pPr>
        <w:pStyle w:val="ListParagraph"/>
        <w:numPr>
          <w:ilvl w:val="0"/>
          <w:numId w:val="5"/>
        </w:numPr>
        <w:spacing w:after="0" w:line="240" w:lineRule="auto"/>
      </w:pPr>
      <w:r w:rsidRPr="00A46F17">
        <w:t>Negotiate hours and fixed fee</w:t>
      </w:r>
    </w:p>
    <w:p w14:paraId="1278C000" w14:textId="77777777" w:rsidR="00DC7AA0" w:rsidRDefault="00DC7AA0" w:rsidP="00A823BF">
      <w:pPr>
        <w:pStyle w:val="ListParagraph"/>
        <w:numPr>
          <w:ilvl w:val="0"/>
          <w:numId w:val="5"/>
        </w:numPr>
        <w:spacing w:after="0" w:line="240" w:lineRule="auto"/>
      </w:pPr>
      <w:r w:rsidRPr="00A46F17">
        <w:t>Obtain legal review for style and format</w:t>
      </w:r>
    </w:p>
    <w:p w14:paraId="3D6A8B87" w14:textId="77777777" w:rsidR="003322A1" w:rsidRPr="00A46F17" w:rsidRDefault="000D22C1" w:rsidP="00A823BF">
      <w:pPr>
        <w:pStyle w:val="ListParagraph"/>
        <w:numPr>
          <w:ilvl w:val="0"/>
          <w:numId w:val="5"/>
        </w:numPr>
        <w:spacing w:after="0" w:line="240" w:lineRule="auto"/>
      </w:pPr>
      <w:r>
        <w:t>Audit review for over $50,000 for overhead, wage rates, fixed fees, etc.</w:t>
      </w:r>
    </w:p>
    <w:p w14:paraId="3B77977B" w14:textId="77777777" w:rsidR="006768F9" w:rsidRPr="00A46F17" w:rsidRDefault="006768F9" w:rsidP="00A823BF">
      <w:pPr>
        <w:pStyle w:val="ListParagraph"/>
        <w:numPr>
          <w:ilvl w:val="0"/>
          <w:numId w:val="5"/>
        </w:numPr>
        <w:spacing w:after="0" w:line="240" w:lineRule="auto"/>
      </w:pPr>
      <w:r w:rsidRPr="00A46F17">
        <w:t>Execute contract – DOT 121 form</w:t>
      </w:r>
    </w:p>
    <w:p w14:paraId="75FB1090" w14:textId="77777777" w:rsidR="006768F9" w:rsidRPr="00A46F17" w:rsidRDefault="006768F9" w:rsidP="00A823BF">
      <w:pPr>
        <w:pStyle w:val="ListParagraph"/>
        <w:numPr>
          <w:ilvl w:val="0"/>
          <w:numId w:val="5"/>
        </w:numPr>
        <w:spacing w:after="0" w:line="240" w:lineRule="auto"/>
      </w:pPr>
      <w:r w:rsidRPr="00A46F17">
        <w:t>Issue notice to proceed</w:t>
      </w:r>
    </w:p>
    <w:p w14:paraId="3BB75E12" w14:textId="77777777" w:rsidR="00230FCF" w:rsidRPr="00A46F17" w:rsidRDefault="00230FCF" w:rsidP="00A823BF">
      <w:pPr>
        <w:pStyle w:val="ListParagraph"/>
        <w:numPr>
          <w:ilvl w:val="0"/>
          <w:numId w:val="5"/>
        </w:numPr>
        <w:spacing w:after="0" w:line="240" w:lineRule="auto"/>
      </w:pPr>
      <w:r w:rsidRPr="00A46F17">
        <w:t>Facilities capital cost of money (FCCM)</w:t>
      </w:r>
    </w:p>
    <w:p w14:paraId="04A0B8D3" w14:textId="77777777" w:rsidR="00230FCF" w:rsidRPr="00A46F17" w:rsidRDefault="00230FCF" w:rsidP="00690620">
      <w:pPr>
        <w:pStyle w:val="ListParagraph"/>
        <w:numPr>
          <w:ilvl w:val="1"/>
          <w:numId w:val="16"/>
        </w:numPr>
        <w:spacing w:after="0" w:line="240" w:lineRule="auto"/>
      </w:pPr>
      <w:r w:rsidRPr="00A46F17">
        <w:t>Must use approved FCCM</w:t>
      </w:r>
    </w:p>
    <w:p w14:paraId="24DF39CA" w14:textId="77777777" w:rsidR="00230FCF" w:rsidRDefault="00230FCF" w:rsidP="00690620">
      <w:pPr>
        <w:pStyle w:val="ListParagraph"/>
        <w:numPr>
          <w:ilvl w:val="1"/>
          <w:numId w:val="16"/>
        </w:numPr>
        <w:spacing w:after="0" w:line="240" w:lineRule="auto"/>
      </w:pPr>
      <w:r w:rsidRPr="00A46F17">
        <w:t>Must be in Contract or WO Budget to claim FCCM</w:t>
      </w:r>
    </w:p>
    <w:p w14:paraId="22B8CAA2" w14:textId="77777777" w:rsidR="00062B7B" w:rsidRDefault="00062B7B" w:rsidP="00062B7B">
      <w:pPr>
        <w:pStyle w:val="ListParagraph"/>
        <w:spacing w:after="0" w:line="240" w:lineRule="auto"/>
        <w:ind w:left="1440"/>
      </w:pPr>
    </w:p>
    <w:p w14:paraId="264270EF" w14:textId="77777777" w:rsidR="00062B7B" w:rsidRPr="00A46F17" w:rsidRDefault="00062B7B" w:rsidP="00062B7B">
      <w:pPr>
        <w:spacing w:after="0" w:line="240" w:lineRule="auto"/>
        <w:ind w:left="720"/>
      </w:pPr>
      <w:r>
        <w:t>NOTE: If the work order is over $150,000 – a Division Director is required to sign.</w:t>
      </w:r>
    </w:p>
    <w:p w14:paraId="5DF3509F" w14:textId="77777777" w:rsidR="006768F9" w:rsidRPr="00A46F17" w:rsidRDefault="006768F9" w:rsidP="00A823BF">
      <w:pPr>
        <w:spacing w:after="0" w:line="240" w:lineRule="auto"/>
        <w:contextualSpacing/>
      </w:pPr>
    </w:p>
    <w:p w14:paraId="5A68CEC2" w14:textId="77777777" w:rsidR="006768F9" w:rsidRPr="00A46F17" w:rsidRDefault="006768F9" w:rsidP="00A823BF">
      <w:pPr>
        <w:spacing w:after="0" w:line="240" w:lineRule="auto"/>
        <w:contextualSpacing/>
        <w:rPr>
          <w:b/>
        </w:rPr>
      </w:pPr>
      <w:r w:rsidRPr="00A46F17">
        <w:rPr>
          <w:b/>
        </w:rPr>
        <w:t>Amendments</w:t>
      </w:r>
    </w:p>
    <w:p w14:paraId="01D0D101" w14:textId="77777777" w:rsidR="006768F9" w:rsidRPr="00A46F17" w:rsidRDefault="006768F9" w:rsidP="00A823BF">
      <w:pPr>
        <w:spacing w:after="0" w:line="240" w:lineRule="auto"/>
        <w:contextualSpacing/>
      </w:pPr>
    </w:p>
    <w:p w14:paraId="42EED5C0" w14:textId="77777777" w:rsidR="006768F9" w:rsidRDefault="006768F9" w:rsidP="00A823BF">
      <w:pPr>
        <w:spacing w:after="0" w:line="240" w:lineRule="auto"/>
        <w:contextualSpacing/>
      </w:pPr>
      <w:r w:rsidRPr="00A46F17">
        <w:lastRenderedPageBreak/>
        <w:t xml:space="preserve">Part of the contract process is to monitor performance during progress of the work. </w:t>
      </w:r>
      <w:r w:rsidR="0082395C" w:rsidRPr="00A46F17">
        <w:t>The DOT c</w:t>
      </w:r>
      <w:r w:rsidR="00DF6549" w:rsidRPr="00A46F17">
        <w:t>ontracting officer</w:t>
      </w:r>
      <w:r w:rsidR="0082395C" w:rsidRPr="00A46F17">
        <w:t xml:space="preserve"> (the contract contact within DOT)</w:t>
      </w:r>
      <w:r w:rsidR="00DF6549" w:rsidRPr="00A46F17">
        <w:t xml:space="preserve"> is to prepare performance evaluation report for each federally funded contract which includes timely completion of work, conformance with contract cost, and quality of work.</w:t>
      </w:r>
    </w:p>
    <w:p w14:paraId="5F8AFE0B" w14:textId="77777777" w:rsidR="00C04443" w:rsidRDefault="00C04443" w:rsidP="00A823BF">
      <w:pPr>
        <w:spacing w:after="0" w:line="240" w:lineRule="auto"/>
        <w:contextualSpacing/>
      </w:pPr>
    </w:p>
    <w:p w14:paraId="7240CDED" w14:textId="77777777" w:rsidR="0002638A" w:rsidRDefault="00C04443" w:rsidP="00A823BF">
      <w:pPr>
        <w:spacing w:after="0" w:line="240" w:lineRule="auto"/>
        <w:contextualSpacing/>
        <w:rPr>
          <w:b/>
          <w:bCs/>
        </w:rPr>
      </w:pPr>
      <w:r>
        <w:t>FHWA Consultant Services Manager, John McAvoy, has stated that indefinite quantity contract work orders can be extended beyond the expiration date of the retainer agreement</w:t>
      </w:r>
      <w:r w:rsidR="00076F19">
        <w:t xml:space="preserve"> (a copy of the approval email from FHWA can be found in the Audits Procedures folder)</w:t>
      </w:r>
      <w:r>
        <w:t xml:space="preserve">. </w:t>
      </w:r>
      <w:r w:rsidRPr="0002638A">
        <w:t>The work order can be extended and amended until the work is satisfactorily completed.</w:t>
      </w:r>
      <w:r w:rsidR="00076F19" w:rsidRPr="00595DBA">
        <w:rPr>
          <w:b/>
          <w:bCs/>
        </w:rPr>
        <w:t xml:space="preserve"> </w:t>
      </w:r>
    </w:p>
    <w:p w14:paraId="3B28E673" w14:textId="77777777" w:rsidR="0002638A" w:rsidRDefault="0002638A" w:rsidP="00A823BF">
      <w:pPr>
        <w:spacing w:after="0" w:line="240" w:lineRule="auto"/>
        <w:contextualSpacing/>
        <w:rPr>
          <w:b/>
          <w:bCs/>
        </w:rPr>
      </w:pPr>
    </w:p>
    <w:p w14:paraId="2B1D8C3E" w14:textId="77777777" w:rsidR="00C04443" w:rsidRPr="0002638A" w:rsidRDefault="00076F19" w:rsidP="00A823BF">
      <w:pPr>
        <w:spacing w:after="0" w:line="240" w:lineRule="auto"/>
        <w:contextualSpacing/>
      </w:pPr>
      <w:r w:rsidRPr="00595DBA">
        <w:rPr>
          <w:b/>
          <w:bCs/>
        </w:rPr>
        <w:t>Per the Legal Office, to extend or amend a Work Order under an expired Retainer Contract, the work order MUST be open. If both the Retainer Contract and the Work Order are expired, a new work order MUST be written.</w:t>
      </w:r>
      <w:r w:rsidR="00AB27AC" w:rsidRPr="00595DBA">
        <w:rPr>
          <w:b/>
          <w:bCs/>
        </w:rPr>
        <w:t xml:space="preserve"> </w:t>
      </w:r>
    </w:p>
    <w:p w14:paraId="2799DE6C" w14:textId="77777777" w:rsidR="00DF6549" w:rsidRPr="00A46F17" w:rsidRDefault="00DF6549" w:rsidP="00A823BF">
      <w:pPr>
        <w:spacing w:after="0" w:line="240" w:lineRule="auto"/>
        <w:contextualSpacing/>
      </w:pPr>
    </w:p>
    <w:p w14:paraId="54F69C0A" w14:textId="77777777" w:rsidR="006768F9" w:rsidRPr="00A46F17" w:rsidRDefault="006768F9" w:rsidP="00A823BF">
      <w:pPr>
        <w:pStyle w:val="ListParagraph"/>
        <w:numPr>
          <w:ilvl w:val="0"/>
          <w:numId w:val="6"/>
        </w:numPr>
        <w:spacing w:after="0" w:line="240" w:lineRule="auto"/>
      </w:pPr>
      <w:r w:rsidRPr="00A46F17">
        <w:t>Cost overruns do not justify an increase in maximum limiting fee</w:t>
      </w:r>
    </w:p>
    <w:p w14:paraId="13CD1E6D" w14:textId="77777777" w:rsidR="006768F9" w:rsidRPr="00A46F17" w:rsidRDefault="006768F9" w:rsidP="00A823BF">
      <w:pPr>
        <w:pStyle w:val="ListParagraph"/>
        <w:numPr>
          <w:ilvl w:val="0"/>
          <w:numId w:val="6"/>
        </w:numPr>
        <w:spacing w:after="0" w:line="240" w:lineRule="auto"/>
      </w:pPr>
      <w:r w:rsidRPr="00A46F17">
        <w:t>Must have a change in scope</w:t>
      </w:r>
      <w:r w:rsidR="007A1516" w:rsidRPr="00A46F17">
        <w:t xml:space="preserve"> </w:t>
      </w:r>
      <w:r w:rsidR="00DC7AA0" w:rsidRPr="00A46F17">
        <w:t xml:space="preserve">to justify cost </w:t>
      </w:r>
      <w:r w:rsidR="007A1516" w:rsidRPr="00A46F17">
        <w:t>increase or decrease</w:t>
      </w:r>
    </w:p>
    <w:p w14:paraId="3F14F990" w14:textId="77777777" w:rsidR="006768F9" w:rsidRPr="00A46F17" w:rsidRDefault="006768F9" w:rsidP="00A823BF">
      <w:pPr>
        <w:pStyle w:val="ListParagraph"/>
        <w:numPr>
          <w:ilvl w:val="0"/>
          <w:numId w:val="6"/>
        </w:numPr>
        <w:spacing w:after="0" w:line="240" w:lineRule="auto"/>
      </w:pPr>
      <w:r w:rsidRPr="00A46F17">
        <w:t>Must have prior written approval</w:t>
      </w:r>
      <w:r w:rsidR="00DC7AA0" w:rsidRPr="00A46F17">
        <w:t xml:space="preserve"> to begin work</w:t>
      </w:r>
    </w:p>
    <w:p w14:paraId="22B6EB78" w14:textId="77777777" w:rsidR="006768F9" w:rsidRPr="00A46F17" w:rsidRDefault="006768F9" w:rsidP="00A823BF">
      <w:pPr>
        <w:pStyle w:val="ListParagraph"/>
        <w:numPr>
          <w:ilvl w:val="0"/>
          <w:numId w:val="6"/>
        </w:numPr>
        <w:spacing w:after="0" w:line="240" w:lineRule="auto"/>
      </w:pPr>
      <w:r w:rsidRPr="00A46F17">
        <w:t xml:space="preserve">Must be supported by a cost breakdown at the </w:t>
      </w:r>
      <w:r w:rsidR="007A1516" w:rsidRPr="00A46F17">
        <w:t>same</w:t>
      </w:r>
      <w:r w:rsidRPr="00A46F17">
        <w:t xml:space="preserve"> level of detail as that provided for initial work order or contract </w:t>
      </w:r>
      <w:r w:rsidR="007A1516" w:rsidRPr="00A46F17">
        <w:t>– Current rates used</w:t>
      </w:r>
    </w:p>
    <w:p w14:paraId="5E74327C" w14:textId="77777777" w:rsidR="00DC7AA0" w:rsidRPr="00A46F17" w:rsidRDefault="00DC7AA0" w:rsidP="00A823BF">
      <w:pPr>
        <w:pStyle w:val="ListParagraph"/>
        <w:numPr>
          <w:ilvl w:val="0"/>
          <w:numId w:val="6"/>
        </w:numPr>
        <w:spacing w:after="0" w:line="240" w:lineRule="auto"/>
      </w:pPr>
      <w:r w:rsidRPr="00A46F17">
        <w:t>Fixed fee remains fixed regardless of cost underrun or overrun</w:t>
      </w:r>
    </w:p>
    <w:p w14:paraId="2AC19B5C" w14:textId="77777777" w:rsidR="007A1516" w:rsidRDefault="00180203" w:rsidP="00A823BF">
      <w:pPr>
        <w:pStyle w:val="ListParagraph"/>
        <w:numPr>
          <w:ilvl w:val="0"/>
          <w:numId w:val="6"/>
        </w:numPr>
        <w:spacing w:after="0" w:line="240" w:lineRule="auto"/>
      </w:pPr>
      <w:r>
        <w:t>Time extensions require an approval email chain between the consultant and the SDDOT agreeing to the time extensio</w:t>
      </w:r>
      <w:r w:rsidR="004A144A">
        <w:t>n</w:t>
      </w:r>
      <w:r w:rsidR="0050053A">
        <w:t xml:space="preserve"> only if the work order is not expired – these time extensions will be added in Negotiated Contracts as a TE for Time Extension</w:t>
      </w:r>
      <w:r w:rsidR="004A144A">
        <w:t xml:space="preserve">. </w:t>
      </w:r>
      <w:r w:rsidR="00B71907">
        <w:t>If the work order is expired but the retainer contract is still open, a time extension</w:t>
      </w:r>
      <w:r w:rsidR="004A144A">
        <w:t xml:space="preserve"> can be submitted with </w:t>
      </w:r>
      <w:r w:rsidR="00513A5D">
        <w:t>a DOT-</w:t>
      </w:r>
      <w:r>
        <w:t xml:space="preserve">121, </w:t>
      </w:r>
      <w:r w:rsidR="00513A5D">
        <w:t xml:space="preserve">a completed 917, and </w:t>
      </w:r>
      <w:r>
        <w:t>the interim cost clause and notice to proceed</w:t>
      </w:r>
      <w:r w:rsidR="00B71907">
        <w:t xml:space="preserve"> – these will be added in Negotiated as an Amendment</w:t>
      </w:r>
      <w:r>
        <w:t>.</w:t>
      </w:r>
    </w:p>
    <w:p w14:paraId="6071E9DE" w14:textId="77777777" w:rsidR="00E0743B" w:rsidRDefault="00E0743B" w:rsidP="00A823BF">
      <w:pPr>
        <w:pStyle w:val="ListParagraph"/>
        <w:numPr>
          <w:ilvl w:val="0"/>
          <w:numId w:val="6"/>
        </w:numPr>
        <w:spacing w:after="0" w:line="240" w:lineRule="auto"/>
      </w:pPr>
      <w:r>
        <w:t>Delay in projects do not automatically allow for changes in the estimate amounts unless there is a significant change</w:t>
      </w:r>
      <w:r w:rsidR="00102839">
        <w:t xml:space="preserve"> and DOT approval</w:t>
      </w:r>
      <w:r>
        <w:t>. As stated in the Consultant Services Manual:</w:t>
      </w:r>
    </w:p>
    <w:p w14:paraId="0D25D480" w14:textId="77777777" w:rsidR="00E0743B" w:rsidRDefault="00E0743B" w:rsidP="00E0743B">
      <w:pPr>
        <w:pStyle w:val="ListParagraph"/>
        <w:numPr>
          <w:ilvl w:val="2"/>
          <w:numId w:val="32"/>
        </w:numPr>
        <w:spacing w:after="0" w:line="240" w:lineRule="auto"/>
      </w:pPr>
      <w:r>
        <w:t>Contract modifications are required for any amendments to the terms of the existing contract or work order that change the cost of the contract or work order; significantly change the character, scope, complexity, or duration of the work; or significantly change the conditions under which the work is required to be performed. A contract or work order modification shall clearly define and document the changes made, establish the method of payment for any adjustments in contract costs, and be in compliance with the terms and conditions of the contract or work order, and original procurement. The P</w:t>
      </w:r>
      <w:r w:rsidR="00831FCF">
        <w:t xml:space="preserve">roject </w:t>
      </w:r>
      <w:r>
        <w:t>M</w:t>
      </w:r>
      <w:r w:rsidR="00831FCF">
        <w:t>anager</w:t>
      </w:r>
      <w:r>
        <w:t xml:space="preserve"> will negotiate contract or work order modifications following the same procedures as the negotiation of the original contract or work order. The PM may add to a contract only the type of services and work included within the scope of services of the original solicitation from which a qualifications-based selection was made.</w:t>
      </w:r>
      <w:r w:rsidR="008E29AD">
        <w:t xml:space="preserve"> </w:t>
      </w:r>
    </w:p>
    <w:p w14:paraId="7F55E6B9" w14:textId="77777777" w:rsidR="00180203" w:rsidRDefault="00180203" w:rsidP="00180203">
      <w:pPr>
        <w:spacing w:after="0" w:line="240" w:lineRule="auto"/>
        <w:ind w:left="720"/>
      </w:pPr>
    </w:p>
    <w:p w14:paraId="1D813834" w14:textId="77777777" w:rsidR="00DF6549" w:rsidRPr="00A46F17" w:rsidRDefault="00DF6549" w:rsidP="00A823BF">
      <w:pPr>
        <w:spacing w:after="0" w:line="240" w:lineRule="auto"/>
        <w:contextualSpacing/>
      </w:pPr>
    </w:p>
    <w:p w14:paraId="0155D313" w14:textId="77777777" w:rsidR="00EA380C" w:rsidRDefault="00F91195" w:rsidP="00A823BF">
      <w:pPr>
        <w:spacing w:after="0" w:line="240" w:lineRule="auto"/>
        <w:contextualSpacing/>
      </w:pPr>
      <w:r w:rsidRPr="00EA380C">
        <w:rPr>
          <w:b/>
        </w:rPr>
        <w:t>Subcontracts</w:t>
      </w:r>
      <w:r>
        <w:t xml:space="preserve"> </w:t>
      </w:r>
    </w:p>
    <w:p w14:paraId="548F2B82" w14:textId="77777777" w:rsidR="00EA380C" w:rsidRDefault="00F91195" w:rsidP="00A823BF">
      <w:pPr>
        <w:spacing w:after="0" w:line="240" w:lineRule="auto"/>
        <w:contextualSpacing/>
      </w:pPr>
      <w:r>
        <w:t xml:space="preserve">Subconsultants may be contracted by a consulting firm to provide engineering and design related services, or other types of services that are part of the scope of work that the firm is under contract to provide to the department. </w:t>
      </w:r>
    </w:p>
    <w:p w14:paraId="13850F7E" w14:textId="77777777" w:rsidR="00EA380C" w:rsidRDefault="00EA380C" w:rsidP="00A823BF">
      <w:pPr>
        <w:spacing w:after="0" w:line="240" w:lineRule="auto"/>
        <w:contextualSpacing/>
      </w:pPr>
    </w:p>
    <w:p w14:paraId="72B01DFA" w14:textId="77777777" w:rsidR="00EA380C" w:rsidRDefault="00F91195" w:rsidP="00A823BF">
      <w:pPr>
        <w:spacing w:after="0" w:line="240" w:lineRule="auto"/>
        <w:contextualSpacing/>
      </w:pPr>
      <w:r>
        <w:lastRenderedPageBreak/>
        <w:t>Subconsultants do not need to be on the retainer contract to be selected. Subconsultants not on the retainer contract may be required to provide</w:t>
      </w:r>
      <w:r w:rsidR="00EA380C">
        <w:t>:</w:t>
      </w:r>
    </w:p>
    <w:p w14:paraId="697AEB6A" w14:textId="77777777" w:rsidR="00EA380C" w:rsidRDefault="00EA380C" w:rsidP="00EA380C">
      <w:pPr>
        <w:pStyle w:val="ListParagraph"/>
        <w:numPr>
          <w:ilvl w:val="3"/>
          <w:numId w:val="6"/>
        </w:numPr>
        <w:spacing w:after="0" w:line="240" w:lineRule="auto"/>
      </w:pPr>
      <w:r>
        <w:t>D</w:t>
      </w:r>
      <w:r w:rsidR="00F91195">
        <w:t>ocumentation of expertise</w:t>
      </w:r>
    </w:p>
    <w:p w14:paraId="2BA63B6B" w14:textId="77777777" w:rsidR="00EA380C" w:rsidRDefault="00F91195" w:rsidP="00EA380C">
      <w:pPr>
        <w:pStyle w:val="ListParagraph"/>
        <w:numPr>
          <w:ilvl w:val="3"/>
          <w:numId w:val="6"/>
        </w:numPr>
        <w:spacing w:after="0" w:line="240" w:lineRule="auto"/>
      </w:pPr>
      <w:r>
        <w:t xml:space="preserve">If using the cost plus fixed fee contracting method, they need to be able to provide an established overhead rate and provide a certified cost rate as per 23 CFR Part 172.11. </w:t>
      </w:r>
    </w:p>
    <w:p w14:paraId="23423FA8" w14:textId="77777777" w:rsidR="00EA380C" w:rsidRDefault="00EA380C" w:rsidP="00A823BF">
      <w:pPr>
        <w:spacing w:after="0" w:line="240" w:lineRule="auto"/>
        <w:contextualSpacing/>
      </w:pPr>
    </w:p>
    <w:p w14:paraId="3F90C3F5" w14:textId="77777777" w:rsidR="00DF6549" w:rsidRPr="00A46F17" w:rsidRDefault="00F91195" w:rsidP="00A823BF">
      <w:pPr>
        <w:spacing w:after="0" w:line="240" w:lineRule="auto"/>
        <w:contextualSpacing/>
        <w:rPr>
          <w:b/>
        </w:rPr>
      </w:pPr>
      <w:r>
        <w:t xml:space="preserve">Small, lump sum subcontracts </w:t>
      </w:r>
      <w:r w:rsidRPr="00EA380C">
        <w:rPr>
          <w:b/>
        </w:rPr>
        <w:t>(less than $5,000)</w:t>
      </w:r>
      <w:r>
        <w:t xml:space="preserve"> may not require overhead and certified cost rates. Each subconsultant will have</w:t>
      </w:r>
      <w:r w:rsidR="00EA380C">
        <w:t>:</w:t>
      </w:r>
      <w:r>
        <w:t xml:space="preserve"> </w:t>
      </w:r>
    </w:p>
    <w:p w14:paraId="2FBA6320" w14:textId="77777777" w:rsidR="00DF6549" w:rsidRPr="00A46F17" w:rsidRDefault="00DF6549" w:rsidP="00A823BF">
      <w:pPr>
        <w:spacing w:after="0" w:line="240" w:lineRule="auto"/>
        <w:contextualSpacing/>
      </w:pPr>
    </w:p>
    <w:p w14:paraId="1C79834A" w14:textId="77777777" w:rsidR="00DF6549" w:rsidRPr="00A46F17" w:rsidRDefault="00EA380C" w:rsidP="00690620">
      <w:pPr>
        <w:pStyle w:val="ListParagraph"/>
        <w:numPr>
          <w:ilvl w:val="0"/>
          <w:numId w:val="7"/>
        </w:numPr>
        <w:spacing w:after="0" w:line="240" w:lineRule="auto"/>
      </w:pPr>
      <w:r>
        <w:t>A</w:t>
      </w:r>
      <w:r w:rsidR="00A3480B" w:rsidRPr="00A46F17">
        <w:t>ll the provision</w:t>
      </w:r>
      <w:r w:rsidR="00DF6549" w:rsidRPr="00A46F17">
        <w:t>s of the prime contract (incorporate by reference)</w:t>
      </w:r>
    </w:p>
    <w:p w14:paraId="7CAE7E5A" w14:textId="77777777" w:rsidR="00DF6549" w:rsidRPr="00A46F17" w:rsidRDefault="00D75536" w:rsidP="00690620">
      <w:pPr>
        <w:pStyle w:val="ListParagraph"/>
        <w:numPr>
          <w:ilvl w:val="0"/>
          <w:numId w:val="7"/>
        </w:numPr>
        <w:spacing w:after="0" w:line="240" w:lineRule="auto"/>
      </w:pPr>
      <w:r w:rsidRPr="00A46F17">
        <w:t>Cost break</w:t>
      </w:r>
      <w:r w:rsidR="00DF6549" w:rsidRPr="00A46F17">
        <w:t>downs</w:t>
      </w:r>
      <w:r w:rsidR="00A3480B" w:rsidRPr="00A46F17">
        <w:t xml:space="preserve"> consistent with the prime contract</w:t>
      </w:r>
      <w:r w:rsidR="00DF6549" w:rsidRPr="00A46F17">
        <w:t xml:space="preserve"> are needed for all sub</w:t>
      </w:r>
      <w:r w:rsidR="00A3480B" w:rsidRPr="00A46F17">
        <w:t>contracts</w:t>
      </w:r>
      <w:r w:rsidR="00DF6549" w:rsidRPr="00A46F17">
        <w:t xml:space="preserve"> at all tiers</w:t>
      </w:r>
    </w:p>
    <w:p w14:paraId="4D32460B" w14:textId="77777777" w:rsidR="00DF6549" w:rsidRPr="00A46F17" w:rsidRDefault="00DF6549" w:rsidP="00690620">
      <w:pPr>
        <w:pStyle w:val="ListParagraph"/>
        <w:numPr>
          <w:ilvl w:val="0"/>
          <w:numId w:val="7"/>
        </w:numPr>
        <w:spacing w:after="0" w:line="240" w:lineRule="auto"/>
      </w:pPr>
      <w:r w:rsidRPr="00A46F17">
        <w:t>Copies of subcontracts need to be included with the cont</w:t>
      </w:r>
      <w:r w:rsidR="003E7786">
        <w:t>r</w:t>
      </w:r>
      <w:r w:rsidRPr="00A46F17">
        <w:t>act</w:t>
      </w:r>
    </w:p>
    <w:p w14:paraId="1CB5FDDF" w14:textId="77777777" w:rsidR="00DF6549" w:rsidRDefault="00DF6549" w:rsidP="00690620">
      <w:pPr>
        <w:pStyle w:val="ListParagraph"/>
        <w:numPr>
          <w:ilvl w:val="0"/>
          <w:numId w:val="7"/>
        </w:numPr>
        <w:spacing w:after="0" w:line="240" w:lineRule="auto"/>
      </w:pPr>
      <w:r w:rsidRPr="00A46F17">
        <w:t>Subcontract must be approved prior to costs being incurred</w:t>
      </w:r>
    </w:p>
    <w:p w14:paraId="0CD920BE" w14:textId="77777777" w:rsidR="00815CE1" w:rsidRPr="00815CE1" w:rsidRDefault="00EA380C" w:rsidP="00EA380C">
      <w:pPr>
        <w:pStyle w:val="ListParagraph"/>
        <w:numPr>
          <w:ilvl w:val="0"/>
          <w:numId w:val="7"/>
        </w:numPr>
        <w:spacing w:after="0" w:line="240" w:lineRule="auto"/>
        <w:rPr>
          <w:b/>
          <w:sz w:val="28"/>
          <w:szCs w:val="28"/>
        </w:rPr>
      </w:pPr>
      <w:r>
        <w:t xml:space="preserve">A subconsultant may not perform more than 49% of the work order or contract amount. </w:t>
      </w:r>
    </w:p>
    <w:p w14:paraId="00C9CC81" w14:textId="77777777" w:rsidR="00EA380C" w:rsidRPr="00EA380C" w:rsidRDefault="00EA380C" w:rsidP="00EA380C">
      <w:pPr>
        <w:pStyle w:val="ListParagraph"/>
        <w:numPr>
          <w:ilvl w:val="0"/>
          <w:numId w:val="7"/>
        </w:numPr>
        <w:spacing w:after="0" w:line="240" w:lineRule="auto"/>
        <w:rPr>
          <w:b/>
          <w:sz w:val="28"/>
          <w:szCs w:val="28"/>
        </w:rPr>
      </w:pPr>
      <w:r>
        <w:t xml:space="preserve">All subcontracts must be approved by SDDOT </w:t>
      </w:r>
      <w:r w:rsidRPr="00262E8A">
        <w:rPr>
          <w:b/>
        </w:rPr>
        <w:t>prior</w:t>
      </w:r>
      <w:r>
        <w:t xml:space="preserve"> to execution of services.</w:t>
      </w:r>
    </w:p>
    <w:p w14:paraId="58B71C2C" w14:textId="77777777" w:rsidR="00EA380C" w:rsidRPr="00EA380C" w:rsidRDefault="00EA380C" w:rsidP="00EA380C">
      <w:pPr>
        <w:pStyle w:val="ListParagraph"/>
        <w:spacing w:after="0" w:line="240" w:lineRule="auto"/>
        <w:rPr>
          <w:b/>
          <w:sz w:val="28"/>
          <w:szCs w:val="28"/>
        </w:rPr>
      </w:pPr>
    </w:p>
    <w:p w14:paraId="03C09D61" w14:textId="77777777" w:rsidR="006044F2" w:rsidRDefault="006768F9" w:rsidP="00A823BF">
      <w:pPr>
        <w:spacing w:after="0" w:line="240" w:lineRule="auto"/>
        <w:contextualSpacing/>
        <w:rPr>
          <w:b/>
          <w:sz w:val="28"/>
          <w:szCs w:val="28"/>
        </w:rPr>
      </w:pPr>
      <w:r w:rsidRPr="00A46F17">
        <w:rPr>
          <w:b/>
          <w:sz w:val="28"/>
          <w:szCs w:val="28"/>
        </w:rPr>
        <w:t xml:space="preserve">IV. </w:t>
      </w:r>
      <w:r w:rsidR="003265E1" w:rsidRPr="00A46F17">
        <w:rPr>
          <w:b/>
          <w:sz w:val="28"/>
          <w:szCs w:val="28"/>
        </w:rPr>
        <w:t>Contract Reimbursement Methods</w:t>
      </w:r>
      <w:r w:rsidR="007B5E71" w:rsidRPr="00A46F17">
        <w:rPr>
          <w:b/>
          <w:sz w:val="28"/>
          <w:szCs w:val="28"/>
        </w:rPr>
        <w:t xml:space="preserve"> and Type</w:t>
      </w:r>
    </w:p>
    <w:p w14:paraId="0F624591" w14:textId="77777777" w:rsidR="00261FC6" w:rsidRDefault="00261FC6" w:rsidP="00A823BF">
      <w:pPr>
        <w:spacing w:after="0" w:line="240" w:lineRule="auto"/>
        <w:contextualSpacing/>
        <w:rPr>
          <w:b/>
        </w:rPr>
      </w:pPr>
    </w:p>
    <w:p w14:paraId="48138F69" w14:textId="77777777" w:rsidR="0088275F" w:rsidRPr="00A46F17" w:rsidRDefault="0088275F" w:rsidP="00A823BF">
      <w:pPr>
        <w:spacing w:after="0" w:line="240" w:lineRule="auto"/>
        <w:contextualSpacing/>
        <w:rPr>
          <w:b/>
        </w:rPr>
      </w:pPr>
      <w:r w:rsidRPr="00A46F17">
        <w:rPr>
          <w:b/>
        </w:rPr>
        <w:t>Cost plus fixed fee</w:t>
      </w:r>
    </w:p>
    <w:p w14:paraId="317190C7" w14:textId="77777777" w:rsidR="007B5E71" w:rsidRPr="00A46F17" w:rsidRDefault="007B5E71" w:rsidP="00A823BF">
      <w:pPr>
        <w:contextualSpacing/>
        <w:jc w:val="both"/>
        <w:rPr>
          <w:rFonts w:cs="Tahoma"/>
        </w:rPr>
      </w:pPr>
      <w:r w:rsidRPr="00A46F17">
        <w:rPr>
          <w:rFonts w:cs="Tahoma"/>
        </w:rPr>
        <w:t>This type of contract is a cost-reimbursement contract. It provides for payment of allowable costs incurred during the performance of the contract plus a fixed fee</w:t>
      </w:r>
      <w:r w:rsidR="00A3480B" w:rsidRPr="00A46F17">
        <w:rPr>
          <w:rFonts w:cs="Tahoma"/>
        </w:rPr>
        <w:t xml:space="preserve"> (profit)</w:t>
      </w:r>
      <w:r w:rsidRPr="00A46F17">
        <w:rPr>
          <w:rFonts w:cs="Tahoma"/>
        </w:rPr>
        <w:t xml:space="preserve"> to the contractor/consultant</w:t>
      </w:r>
      <w:r w:rsidR="0033278C" w:rsidRPr="00A46F17">
        <w:rPr>
          <w:rFonts w:cs="Tahoma"/>
        </w:rPr>
        <w:t>.</w:t>
      </w:r>
    </w:p>
    <w:p w14:paraId="6CCBEFC4" w14:textId="77777777" w:rsidR="007B5E71" w:rsidRPr="00A46F17" w:rsidRDefault="007B5E71" w:rsidP="00690620">
      <w:pPr>
        <w:pStyle w:val="ListParagraph"/>
        <w:numPr>
          <w:ilvl w:val="0"/>
          <w:numId w:val="9"/>
        </w:numPr>
        <w:spacing w:after="0" w:line="240" w:lineRule="auto"/>
        <w:jc w:val="both"/>
        <w:rPr>
          <w:rFonts w:cs="Tahoma"/>
        </w:rPr>
      </w:pPr>
      <w:r w:rsidRPr="00A46F17">
        <w:rPr>
          <w:rFonts w:cs="Tahoma"/>
        </w:rPr>
        <w:t>Maximum limiting amounts cannot be exceeded without an amendment and justifiable need for additional services.</w:t>
      </w:r>
      <w:r w:rsidR="0047687A" w:rsidRPr="00A46F17">
        <w:rPr>
          <w:rFonts w:cs="Tahoma"/>
        </w:rPr>
        <w:t xml:space="preserve"> (</w:t>
      </w:r>
      <w:r w:rsidR="00042178" w:rsidRPr="00A46F17">
        <w:rPr>
          <w:rFonts w:cs="Tahoma"/>
        </w:rPr>
        <w:t>i.e.</w:t>
      </w:r>
      <w:r w:rsidR="0047687A" w:rsidRPr="00A46F17">
        <w:rPr>
          <w:rFonts w:cs="Tahoma"/>
        </w:rPr>
        <w:t xml:space="preserve"> – </w:t>
      </w:r>
      <w:r w:rsidR="002A7894" w:rsidRPr="00A46F17">
        <w:rPr>
          <w:rFonts w:cs="Tahoma"/>
        </w:rPr>
        <w:t xml:space="preserve">DOT Caused Delays: Stopping and restarting and/or </w:t>
      </w:r>
      <w:r w:rsidR="0047687A" w:rsidRPr="00A46F17">
        <w:rPr>
          <w:rFonts w:cs="Tahoma"/>
        </w:rPr>
        <w:t>change of sc</w:t>
      </w:r>
      <w:r w:rsidR="002A7894" w:rsidRPr="00A46F17">
        <w:rPr>
          <w:rFonts w:cs="Tahoma"/>
        </w:rPr>
        <w:t>ope</w:t>
      </w:r>
      <w:r w:rsidR="0047687A" w:rsidRPr="00A46F17">
        <w:rPr>
          <w:rFonts w:cs="Tahoma"/>
        </w:rPr>
        <w:t>)</w:t>
      </w:r>
    </w:p>
    <w:p w14:paraId="66BA2B5C" w14:textId="77777777" w:rsidR="0029115B" w:rsidRPr="00A46F17" w:rsidRDefault="0029115B" w:rsidP="00690620">
      <w:pPr>
        <w:pStyle w:val="ListParagraph"/>
        <w:numPr>
          <w:ilvl w:val="1"/>
          <w:numId w:val="14"/>
        </w:numPr>
        <w:spacing w:after="0" w:line="240" w:lineRule="auto"/>
        <w:jc w:val="both"/>
        <w:rPr>
          <w:rFonts w:cs="Tahoma"/>
        </w:rPr>
      </w:pPr>
      <w:r w:rsidRPr="00A46F17">
        <w:rPr>
          <w:rFonts w:cs="Tahoma"/>
        </w:rPr>
        <w:t>A Dot-caused delay allows for a change in scope/rates to the remaining hours only</w:t>
      </w:r>
    </w:p>
    <w:p w14:paraId="0F1E5DB0" w14:textId="77777777" w:rsidR="0029115B" w:rsidRPr="00A46F17" w:rsidRDefault="0029115B" w:rsidP="00690620">
      <w:pPr>
        <w:pStyle w:val="ListParagraph"/>
        <w:numPr>
          <w:ilvl w:val="1"/>
          <w:numId w:val="14"/>
        </w:numPr>
        <w:spacing w:after="0" w:line="240" w:lineRule="auto"/>
        <w:jc w:val="both"/>
        <w:rPr>
          <w:rFonts w:cs="Tahoma"/>
        </w:rPr>
      </w:pPr>
      <w:r w:rsidRPr="00A46F17">
        <w:rPr>
          <w:rFonts w:cs="Tahoma"/>
        </w:rPr>
        <w:t>A consultant-caused delay will not allow changes</w:t>
      </w:r>
    </w:p>
    <w:p w14:paraId="1AFCE6AE" w14:textId="77777777" w:rsidR="0029115B" w:rsidRPr="00A46F17" w:rsidRDefault="0029115B" w:rsidP="00690620">
      <w:pPr>
        <w:pStyle w:val="ListParagraph"/>
        <w:numPr>
          <w:ilvl w:val="1"/>
          <w:numId w:val="14"/>
        </w:numPr>
        <w:spacing w:after="0" w:line="240" w:lineRule="auto"/>
        <w:jc w:val="both"/>
        <w:rPr>
          <w:rFonts w:cs="Tahoma"/>
        </w:rPr>
      </w:pPr>
      <w:r w:rsidRPr="00A46F17">
        <w:rPr>
          <w:rFonts w:cs="Tahoma"/>
        </w:rPr>
        <w:t>No fault of the DOT or consultant delays will be handled the same as a DOT-caused delay.</w:t>
      </w:r>
    </w:p>
    <w:p w14:paraId="732A6E76" w14:textId="77777777" w:rsidR="0082395C" w:rsidRPr="00A46F17" w:rsidRDefault="007B5E71" w:rsidP="00690620">
      <w:pPr>
        <w:numPr>
          <w:ilvl w:val="0"/>
          <w:numId w:val="9"/>
        </w:numPr>
        <w:spacing w:after="0" w:line="240" w:lineRule="auto"/>
        <w:contextualSpacing/>
        <w:jc w:val="both"/>
        <w:rPr>
          <w:rFonts w:cs="Tahoma"/>
        </w:rPr>
      </w:pPr>
      <w:r w:rsidRPr="00A46F17">
        <w:rPr>
          <w:rFonts w:cs="Tahoma"/>
        </w:rPr>
        <w:t>Fixed fee</w:t>
      </w:r>
      <w:r w:rsidR="0082395C" w:rsidRPr="00A46F17">
        <w:rPr>
          <w:rFonts w:cs="Tahoma"/>
        </w:rPr>
        <w:t xml:space="preserve"> percent</w:t>
      </w:r>
      <w:r w:rsidRPr="00A46F17">
        <w:rPr>
          <w:rFonts w:cs="Tahoma"/>
        </w:rPr>
        <w:t xml:space="preserve"> is negotiated up front</w:t>
      </w:r>
    </w:p>
    <w:p w14:paraId="3DDC891F" w14:textId="77777777" w:rsidR="007B5E71" w:rsidRPr="00A46F17" w:rsidRDefault="0082395C" w:rsidP="00690620">
      <w:pPr>
        <w:numPr>
          <w:ilvl w:val="1"/>
          <w:numId w:val="15"/>
        </w:numPr>
        <w:spacing w:after="0" w:line="240" w:lineRule="auto"/>
        <w:contextualSpacing/>
        <w:jc w:val="both"/>
        <w:rPr>
          <w:rFonts w:cs="Tahoma"/>
        </w:rPr>
      </w:pPr>
      <w:r w:rsidRPr="00A46F17">
        <w:rPr>
          <w:rFonts w:cs="Tahoma"/>
        </w:rPr>
        <w:t xml:space="preserve">Contract will state how fixed fee is handled upon completion of the project. </w:t>
      </w:r>
    </w:p>
    <w:p w14:paraId="50854599" w14:textId="77777777" w:rsidR="0082395C" w:rsidRPr="00A46F17" w:rsidRDefault="0082395C" w:rsidP="00690620">
      <w:pPr>
        <w:numPr>
          <w:ilvl w:val="1"/>
          <w:numId w:val="15"/>
        </w:numPr>
        <w:spacing w:after="0" w:line="240" w:lineRule="auto"/>
        <w:contextualSpacing/>
        <w:jc w:val="both"/>
        <w:rPr>
          <w:rFonts w:cs="Tahoma"/>
        </w:rPr>
      </w:pPr>
      <w:r w:rsidRPr="00A46F17">
        <w:rPr>
          <w:rFonts w:cs="Tahoma"/>
        </w:rPr>
        <w:t xml:space="preserve">See </w:t>
      </w:r>
      <w:r w:rsidRPr="00A46F17">
        <w:rPr>
          <w:rFonts w:cs="Tahoma"/>
          <w:i/>
        </w:rPr>
        <w:t>48 CFR 16</w:t>
      </w:r>
      <w:r w:rsidRPr="00A46F17">
        <w:rPr>
          <w:rFonts w:cs="Tahoma"/>
        </w:rPr>
        <w:t xml:space="preserve"> for additional information on Cost Plus Fixed Fee contracts</w:t>
      </w:r>
    </w:p>
    <w:p w14:paraId="23CBE888" w14:textId="77777777" w:rsidR="0029115B" w:rsidRPr="00A46F17" w:rsidRDefault="007B5E71" w:rsidP="00690620">
      <w:pPr>
        <w:numPr>
          <w:ilvl w:val="0"/>
          <w:numId w:val="9"/>
        </w:numPr>
        <w:spacing w:after="0" w:line="240" w:lineRule="auto"/>
        <w:contextualSpacing/>
        <w:jc w:val="both"/>
        <w:rPr>
          <w:rFonts w:cs="Tahoma"/>
        </w:rPr>
      </w:pPr>
      <w:r w:rsidRPr="00A46F17">
        <w:rPr>
          <w:rFonts w:cs="Tahoma"/>
        </w:rPr>
        <w:t>Actual labor costs are reimbursed; overhead rates are matched to labor at project closeout</w:t>
      </w:r>
      <w:r w:rsidR="00CB136F">
        <w:rPr>
          <w:rFonts w:cs="Tahoma"/>
        </w:rPr>
        <w:t>, if requested</w:t>
      </w:r>
      <w:r w:rsidRPr="00A46F17">
        <w:rPr>
          <w:rFonts w:cs="Tahoma"/>
        </w:rPr>
        <w:t>.</w:t>
      </w:r>
    </w:p>
    <w:p w14:paraId="60A47D19" w14:textId="77777777" w:rsidR="0029115B" w:rsidRPr="00A46F17" w:rsidRDefault="0029115B" w:rsidP="00A823BF">
      <w:pPr>
        <w:spacing w:after="0" w:line="240" w:lineRule="auto"/>
        <w:contextualSpacing/>
      </w:pPr>
    </w:p>
    <w:p w14:paraId="2160242A" w14:textId="77777777" w:rsidR="0029115B" w:rsidRPr="00A46F17" w:rsidRDefault="006044F2" w:rsidP="00A823BF">
      <w:pPr>
        <w:spacing w:after="0" w:line="240" w:lineRule="auto"/>
        <w:contextualSpacing/>
      </w:pPr>
      <w:r w:rsidRPr="00A46F17">
        <w:t>The Labor costs are based on estimated hours and current actual salary rates- list personnel by name or employee number</w:t>
      </w:r>
      <w:r w:rsidR="00F83317" w:rsidRPr="00A46F17">
        <w:t>, not</w:t>
      </w:r>
      <w:r w:rsidRPr="00A46F17">
        <w:t xml:space="preserve"> just the classification.  </w:t>
      </w:r>
      <w:r w:rsidR="00F83317" w:rsidRPr="00A46F17">
        <w:t>The personnel hours and rates must be associated with tasks and subtasks identified in the cost estimate.</w:t>
      </w:r>
    </w:p>
    <w:p w14:paraId="0058314F" w14:textId="77777777" w:rsidR="0029115B" w:rsidRPr="00A46F17" w:rsidRDefault="0029115B" w:rsidP="00690620">
      <w:pPr>
        <w:pStyle w:val="ListParagraph"/>
        <w:numPr>
          <w:ilvl w:val="0"/>
          <w:numId w:val="12"/>
        </w:numPr>
        <w:spacing w:after="0" w:line="240" w:lineRule="auto"/>
      </w:pPr>
      <w:r w:rsidRPr="00A46F17">
        <w:t xml:space="preserve">Labor costs </w:t>
      </w:r>
      <w:r w:rsidR="003E5A1D" w:rsidRPr="00A46F17">
        <w:t xml:space="preserve">for longer projects </w:t>
      </w:r>
      <w:r w:rsidRPr="00A46F17">
        <w:t xml:space="preserve">exceeding </w:t>
      </w:r>
      <w:r w:rsidR="003E5A1D" w:rsidRPr="00A46F17">
        <w:t>one</w:t>
      </w:r>
      <w:r w:rsidRPr="00A46F17">
        <w:t xml:space="preserve"> year can be estimated with </w:t>
      </w:r>
      <w:r w:rsidR="003E5A1D" w:rsidRPr="00A46F17">
        <w:t>rate change</w:t>
      </w:r>
      <w:r w:rsidR="0082395C" w:rsidRPr="00A46F17">
        <w:t>s</w:t>
      </w:r>
      <w:r w:rsidR="003E5A1D" w:rsidRPr="00A46F17">
        <w:t xml:space="preserve"> in wages </w:t>
      </w:r>
      <w:r w:rsidRPr="00A46F17">
        <w:t xml:space="preserve">over the years </w:t>
      </w:r>
      <w:r w:rsidR="003E5A1D" w:rsidRPr="00A46F17">
        <w:t xml:space="preserve">to provide for raises </w:t>
      </w:r>
      <w:r w:rsidRPr="00A46F17">
        <w:t xml:space="preserve">or </w:t>
      </w:r>
      <w:r w:rsidR="0082395C" w:rsidRPr="00A46F17">
        <w:t xml:space="preserve">can be estimated </w:t>
      </w:r>
      <w:r w:rsidRPr="00A46F17">
        <w:t>by the current actual rates</w:t>
      </w:r>
      <w:r w:rsidR="0082395C" w:rsidRPr="00A46F17">
        <w:t xml:space="preserve"> with an added </w:t>
      </w:r>
      <w:r w:rsidR="003E5A1D" w:rsidRPr="00A46F17">
        <w:t>contingency</w:t>
      </w:r>
      <w:r w:rsidRPr="00A46F17">
        <w:t xml:space="preserve"> (see </w:t>
      </w:r>
      <w:hyperlink r:id="rId10" w:history="1">
        <w:r w:rsidRPr="00A46F17">
          <w:rPr>
            <w:rStyle w:val="Hyperlink"/>
          </w:rPr>
          <w:t>Labor Estimate</w:t>
        </w:r>
      </w:hyperlink>
      <w:r w:rsidRPr="00A46F17">
        <w:t xml:space="preserve"> Attachment)</w:t>
      </w:r>
    </w:p>
    <w:p w14:paraId="52685334" w14:textId="77777777" w:rsidR="0029115B" w:rsidRPr="00A46F17" w:rsidRDefault="0029115B" w:rsidP="00A823BF">
      <w:pPr>
        <w:spacing w:after="0" w:line="240" w:lineRule="auto"/>
        <w:contextualSpacing/>
      </w:pPr>
    </w:p>
    <w:p w14:paraId="074CD1E1" w14:textId="77777777" w:rsidR="0029115B" w:rsidRPr="00A46F17" w:rsidRDefault="006044F2" w:rsidP="00A823BF">
      <w:pPr>
        <w:spacing w:after="0" w:line="240" w:lineRule="auto"/>
        <w:contextualSpacing/>
      </w:pPr>
      <w:r w:rsidRPr="00A46F17">
        <w:t xml:space="preserve">Overhead rates must be supported by a provisionally approved overhead rate schedule received from </w:t>
      </w:r>
      <w:r w:rsidR="00F83317" w:rsidRPr="00A46F17">
        <w:t>SDDOT Audit Office</w:t>
      </w:r>
      <w:r w:rsidRPr="00A46F17">
        <w:t>, an audited rate provided by another state DOT organization</w:t>
      </w:r>
      <w:r w:rsidR="00F83317" w:rsidRPr="00A46F17">
        <w:t>,</w:t>
      </w:r>
      <w:r w:rsidRPr="00A46F17">
        <w:t xml:space="preserve"> or a cognizant audit. </w:t>
      </w:r>
    </w:p>
    <w:p w14:paraId="291C5A63" w14:textId="77777777" w:rsidR="0029115B" w:rsidRPr="00A46F17" w:rsidRDefault="0029115B" w:rsidP="00A823BF">
      <w:pPr>
        <w:spacing w:after="0" w:line="240" w:lineRule="auto"/>
        <w:contextualSpacing/>
      </w:pPr>
    </w:p>
    <w:p w14:paraId="3FC463E7" w14:textId="77777777" w:rsidR="00DF6549" w:rsidRPr="00A46F17" w:rsidRDefault="006044F2" w:rsidP="00A823BF">
      <w:pPr>
        <w:spacing w:after="0" w:line="240" w:lineRule="auto"/>
        <w:contextualSpacing/>
      </w:pPr>
      <w:r w:rsidRPr="00A46F17">
        <w:lastRenderedPageBreak/>
        <w:t xml:space="preserve">Estimated materials, supplies, travel expenses, </w:t>
      </w:r>
      <w:r w:rsidR="0088275F" w:rsidRPr="00A46F17">
        <w:t>etc.</w:t>
      </w:r>
      <w:r w:rsidRPr="00A46F17">
        <w:t xml:space="preserve"> must be listed in as much detail as possible. Final reimbursable amounts are adjusted to actual cost </w:t>
      </w:r>
      <w:r w:rsidR="00F83317" w:rsidRPr="00A46F17">
        <w:t xml:space="preserve">plus fixed fee </w:t>
      </w:r>
      <w:r w:rsidRPr="00A46F17">
        <w:t xml:space="preserve">during </w:t>
      </w:r>
      <w:r w:rsidR="00F83317" w:rsidRPr="00A46F17">
        <w:t xml:space="preserve">an </w:t>
      </w:r>
      <w:r w:rsidRPr="00A46F17">
        <w:t xml:space="preserve">audit. </w:t>
      </w:r>
    </w:p>
    <w:p w14:paraId="6C3969E2" w14:textId="77777777" w:rsidR="00DF6549" w:rsidRPr="00A46F17" w:rsidRDefault="00DF6549" w:rsidP="00A823BF">
      <w:pPr>
        <w:spacing w:after="0" w:line="240" w:lineRule="auto"/>
        <w:contextualSpacing/>
        <w:rPr>
          <w:b/>
        </w:rPr>
      </w:pPr>
    </w:p>
    <w:p w14:paraId="71A0028D" w14:textId="77777777" w:rsidR="0088275F" w:rsidRPr="00A46F17" w:rsidRDefault="0088275F" w:rsidP="00A823BF">
      <w:pPr>
        <w:spacing w:after="0" w:line="240" w:lineRule="auto"/>
        <w:contextualSpacing/>
        <w:rPr>
          <w:b/>
        </w:rPr>
      </w:pPr>
      <w:r w:rsidRPr="00A46F17">
        <w:rPr>
          <w:b/>
        </w:rPr>
        <w:t xml:space="preserve">Lump sum </w:t>
      </w:r>
    </w:p>
    <w:p w14:paraId="228EDA61" w14:textId="77777777" w:rsidR="007B5E71" w:rsidRPr="00A46F17" w:rsidRDefault="007B5E71" w:rsidP="00A823BF">
      <w:pPr>
        <w:contextualSpacing/>
        <w:jc w:val="both"/>
        <w:rPr>
          <w:rFonts w:cs="Tahoma"/>
          <w:b/>
        </w:rPr>
      </w:pPr>
      <w:r w:rsidRPr="00A46F17">
        <w:rPr>
          <w:rFonts w:cs="Tahoma"/>
        </w:rPr>
        <w:t xml:space="preserve">This type </w:t>
      </w:r>
      <w:r w:rsidR="00F83317" w:rsidRPr="00A46F17">
        <w:rPr>
          <w:rFonts w:cs="Tahoma"/>
        </w:rPr>
        <w:t xml:space="preserve">of contract </w:t>
      </w:r>
      <w:r w:rsidRPr="00A46F17">
        <w:rPr>
          <w:rFonts w:cs="Tahoma"/>
        </w:rPr>
        <w:t xml:space="preserve">provides for payment of a </w:t>
      </w:r>
      <w:r w:rsidR="00F83317" w:rsidRPr="00A46F17">
        <w:rPr>
          <w:rFonts w:cs="Tahoma"/>
        </w:rPr>
        <w:t>previously agreed upon</w:t>
      </w:r>
      <w:r w:rsidRPr="00A46F17">
        <w:rPr>
          <w:rFonts w:cs="Tahoma"/>
        </w:rPr>
        <w:t xml:space="preserve"> lump sum to the contractor to perform the work as specified in the contract</w:t>
      </w:r>
      <w:r w:rsidR="00F83317" w:rsidRPr="00A46F17">
        <w:rPr>
          <w:rFonts w:cs="Tahoma"/>
        </w:rPr>
        <w:t>, regardless of actual costs</w:t>
      </w:r>
      <w:r w:rsidRPr="00A46F17">
        <w:rPr>
          <w:rFonts w:cs="Tahoma"/>
        </w:rPr>
        <w:t xml:space="preserve">. </w:t>
      </w:r>
    </w:p>
    <w:p w14:paraId="5D5C7827" w14:textId="77777777" w:rsidR="007B5E71" w:rsidRPr="00A46F17" w:rsidRDefault="007B5E71" w:rsidP="00690620">
      <w:pPr>
        <w:pStyle w:val="ListParagraph"/>
        <w:numPr>
          <w:ilvl w:val="0"/>
          <w:numId w:val="10"/>
        </w:numPr>
        <w:spacing w:after="0" w:line="240" w:lineRule="auto"/>
        <w:jc w:val="both"/>
        <w:rPr>
          <w:rFonts w:cs="Tahoma"/>
        </w:rPr>
      </w:pPr>
      <w:r w:rsidRPr="00A46F17">
        <w:rPr>
          <w:rFonts w:cs="Tahoma"/>
        </w:rPr>
        <w:t>Lump sum amount is paid irrespective of actual costs incurred.</w:t>
      </w:r>
    </w:p>
    <w:p w14:paraId="3F7A63DC" w14:textId="77777777" w:rsidR="007B5E71" w:rsidRPr="00A46F17" w:rsidRDefault="007B5E71" w:rsidP="00690620">
      <w:pPr>
        <w:numPr>
          <w:ilvl w:val="0"/>
          <w:numId w:val="10"/>
        </w:numPr>
        <w:spacing w:after="0" w:line="240" w:lineRule="auto"/>
        <w:contextualSpacing/>
        <w:jc w:val="both"/>
        <w:rPr>
          <w:rFonts w:cs="Tahoma"/>
        </w:rPr>
      </w:pPr>
      <w:r w:rsidRPr="00A46F17">
        <w:rPr>
          <w:rFonts w:cs="Tahoma"/>
        </w:rPr>
        <w:t>Scope must be clearly defined.</w:t>
      </w:r>
    </w:p>
    <w:p w14:paraId="5555B3C8" w14:textId="77777777" w:rsidR="007B5E71" w:rsidRPr="00A46F17" w:rsidRDefault="007B5E71" w:rsidP="00A823BF">
      <w:pPr>
        <w:spacing w:after="0" w:line="240" w:lineRule="auto"/>
        <w:contextualSpacing/>
      </w:pPr>
    </w:p>
    <w:p w14:paraId="53DED6B9" w14:textId="77777777" w:rsidR="0088275F" w:rsidRDefault="003265E1" w:rsidP="00A823BF">
      <w:pPr>
        <w:spacing w:after="0" w:line="240" w:lineRule="auto"/>
        <w:contextualSpacing/>
        <w:rPr>
          <w:rFonts w:cs="Tahoma"/>
          <w:b/>
        </w:rPr>
      </w:pPr>
      <w:r w:rsidRPr="00A46F17">
        <w:t>Prior to contract or work order approval</w:t>
      </w:r>
      <w:r w:rsidR="0029115B" w:rsidRPr="00A46F17">
        <w:t>,</w:t>
      </w:r>
      <w:r w:rsidRPr="00A46F17">
        <w:t xml:space="preserve"> the scope must be clearly defined and a detailed cost breakdown must be provided. </w:t>
      </w:r>
      <w:r w:rsidR="0033278C" w:rsidRPr="00A46F17">
        <w:rPr>
          <w:rFonts w:cs="Tahoma"/>
          <w:b/>
        </w:rPr>
        <w:t>This also applies to subcontracts.</w:t>
      </w:r>
    </w:p>
    <w:p w14:paraId="26E05398" w14:textId="77777777" w:rsidR="006E1038" w:rsidRDefault="006E1038" w:rsidP="00A823BF">
      <w:pPr>
        <w:spacing w:after="0" w:line="240" w:lineRule="auto"/>
        <w:contextualSpacing/>
        <w:rPr>
          <w:rFonts w:cs="Tahoma"/>
          <w:b/>
        </w:rPr>
      </w:pPr>
    </w:p>
    <w:p w14:paraId="06F3C6A3" w14:textId="77777777" w:rsidR="006E1038" w:rsidRPr="006E1038" w:rsidRDefault="006E1038" w:rsidP="006E1038">
      <w:r w:rsidRPr="006E1038">
        <w:t>Lump Sum (fixed-price) contracts do not require any supporting documentation if the lump sum is paid in full after the project is complete and approved by the agency. If the consultant requests partial payments, they must send any supporting detailed documentation for work and services performed to date – all current wages and approved indirect cost rates apply.  </w:t>
      </w:r>
    </w:p>
    <w:p w14:paraId="51181B94" w14:textId="77777777" w:rsidR="003265E1" w:rsidRPr="00A46F17" w:rsidRDefault="003265E1" w:rsidP="00A823BF">
      <w:pPr>
        <w:spacing w:after="0" w:line="240" w:lineRule="auto"/>
        <w:contextualSpacing/>
        <w:rPr>
          <w:b/>
        </w:rPr>
      </w:pPr>
      <w:r w:rsidRPr="00A46F17">
        <w:rPr>
          <w:b/>
        </w:rPr>
        <w:t>Fixed Billing Rates (Time and Materials)</w:t>
      </w:r>
    </w:p>
    <w:p w14:paraId="24E6D7BB" w14:textId="77777777" w:rsidR="007B5E71" w:rsidRPr="005D6EE5" w:rsidRDefault="007B5E71" w:rsidP="00A823BF">
      <w:pPr>
        <w:contextualSpacing/>
        <w:jc w:val="both"/>
        <w:rPr>
          <w:rFonts w:cs="Tahoma"/>
          <w:b/>
        </w:rPr>
      </w:pPr>
      <w:r w:rsidRPr="00A46F17">
        <w:rPr>
          <w:rFonts w:cs="Tahoma"/>
        </w:rPr>
        <w:t xml:space="preserve">This is a variation of the fixed-price type contract. It establishes advanced unit prices for quantities to be delivered later. Generally, these contracts provide for categories of labor at specified hourly rates plus the actual cost of materials or other direct costs. </w:t>
      </w:r>
    </w:p>
    <w:p w14:paraId="46EEE80A" w14:textId="77777777" w:rsidR="007B5E71" w:rsidRPr="00A46F17" w:rsidRDefault="007B5E71" w:rsidP="00690620">
      <w:pPr>
        <w:pStyle w:val="ListParagraph"/>
        <w:numPr>
          <w:ilvl w:val="0"/>
          <w:numId w:val="11"/>
        </w:numPr>
        <w:spacing w:after="0" w:line="240" w:lineRule="auto"/>
        <w:jc w:val="both"/>
        <w:rPr>
          <w:rFonts w:cs="Tahoma"/>
        </w:rPr>
      </w:pPr>
      <w:r w:rsidRPr="00A46F17">
        <w:rPr>
          <w:rFonts w:cs="Tahoma"/>
        </w:rPr>
        <w:t>Maximum limiting amounts cannot be exceeded without an amendment and justifiable need for additional services.</w:t>
      </w:r>
    </w:p>
    <w:p w14:paraId="5648AFEF" w14:textId="77777777" w:rsidR="00FF07D6" w:rsidRPr="00A46F17" w:rsidRDefault="007B5E71" w:rsidP="00690620">
      <w:pPr>
        <w:numPr>
          <w:ilvl w:val="0"/>
          <w:numId w:val="11"/>
        </w:numPr>
        <w:spacing w:after="0" w:line="240" w:lineRule="auto"/>
        <w:contextualSpacing/>
        <w:jc w:val="both"/>
        <w:rPr>
          <w:rFonts w:cs="Tahoma"/>
          <w:sz w:val="24"/>
          <w:szCs w:val="24"/>
        </w:rPr>
      </w:pPr>
      <w:r w:rsidRPr="00A46F17">
        <w:rPr>
          <w:rFonts w:cs="Tahoma"/>
        </w:rPr>
        <w:t xml:space="preserve">Billing rates are established </w:t>
      </w:r>
      <w:r w:rsidR="00F83317" w:rsidRPr="00A46F17">
        <w:rPr>
          <w:rFonts w:cs="Tahoma"/>
        </w:rPr>
        <w:t>prior to execution</w:t>
      </w:r>
      <w:r w:rsidRPr="00A46F17">
        <w:rPr>
          <w:rFonts w:cs="Tahoma"/>
        </w:rPr>
        <w:t xml:space="preserve"> based </w:t>
      </w:r>
      <w:r w:rsidR="00F83317" w:rsidRPr="00A46F17">
        <w:rPr>
          <w:rFonts w:cs="Tahoma"/>
        </w:rPr>
        <w:t>up</w:t>
      </w:r>
      <w:r w:rsidRPr="00A46F17">
        <w:rPr>
          <w:rFonts w:cs="Tahoma"/>
        </w:rPr>
        <w:t xml:space="preserve">on the individual’s salary, current available overhead rate, and negotiated fixed fee. </w:t>
      </w:r>
    </w:p>
    <w:p w14:paraId="3D9237AB" w14:textId="77777777" w:rsidR="003265E1" w:rsidRPr="00A46F17" w:rsidRDefault="007B5E71" w:rsidP="00690620">
      <w:pPr>
        <w:numPr>
          <w:ilvl w:val="0"/>
          <w:numId w:val="11"/>
        </w:numPr>
        <w:spacing w:after="0" w:line="240" w:lineRule="auto"/>
        <w:contextualSpacing/>
        <w:jc w:val="both"/>
        <w:rPr>
          <w:rFonts w:cs="Tahoma"/>
          <w:sz w:val="24"/>
          <w:szCs w:val="24"/>
        </w:rPr>
      </w:pPr>
      <w:r w:rsidRPr="00A46F17">
        <w:rPr>
          <w:rFonts w:cs="Tahoma"/>
        </w:rPr>
        <w:t xml:space="preserve">Billing rates are not subject to change </w:t>
      </w:r>
      <w:r w:rsidR="00F83317" w:rsidRPr="00A46F17">
        <w:rPr>
          <w:rFonts w:cs="Tahoma"/>
        </w:rPr>
        <w:t>for</w:t>
      </w:r>
      <w:r w:rsidRPr="00A46F17">
        <w:rPr>
          <w:rFonts w:cs="Tahoma"/>
        </w:rPr>
        <w:t xml:space="preserve"> the duration of the contract</w:t>
      </w:r>
      <w:r w:rsidRPr="00A46F17">
        <w:rPr>
          <w:rFonts w:cs="Tahoma"/>
          <w:sz w:val="24"/>
          <w:szCs w:val="24"/>
        </w:rPr>
        <w:t>.</w:t>
      </w:r>
    </w:p>
    <w:p w14:paraId="2D6E7EC7" w14:textId="77777777" w:rsidR="0033278C" w:rsidRPr="00A46F17" w:rsidRDefault="0033278C" w:rsidP="00A823BF">
      <w:pPr>
        <w:spacing w:after="0" w:line="240" w:lineRule="auto"/>
        <w:contextualSpacing/>
      </w:pPr>
    </w:p>
    <w:p w14:paraId="0302621A" w14:textId="77777777" w:rsidR="00484787" w:rsidRPr="00A46F17" w:rsidRDefault="00484787" w:rsidP="00A823BF">
      <w:pPr>
        <w:spacing w:after="0" w:line="240" w:lineRule="auto"/>
        <w:contextualSpacing/>
      </w:pPr>
    </w:p>
    <w:p w14:paraId="0D7A2FB4" w14:textId="77777777" w:rsidR="003265E1" w:rsidRDefault="00DF6549" w:rsidP="00A823BF">
      <w:pPr>
        <w:contextualSpacing/>
        <w:rPr>
          <w:b/>
          <w:sz w:val="28"/>
          <w:szCs w:val="28"/>
        </w:rPr>
      </w:pPr>
      <w:r w:rsidRPr="00A46F17">
        <w:rPr>
          <w:b/>
          <w:sz w:val="28"/>
          <w:szCs w:val="28"/>
        </w:rPr>
        <w:t>V.</w:t>
      </w:r>
      <w:r w:rsidRPr="00A46F17">
        <w:rPr>
          <w:sz w:val="28"/>
          <w:szCs w:val="28"/>
        </w:rPr>
        <w:t xml:space="preserve"> </w:t>
      </w:r>
      <w:r w:rsidR="003265E1" w:rsidRPr="00A46F17">
        <w:rPr>
          <w:b/>
          <w:sz w:val="28"/>
          <w:szCs w:val="28"/>
        </w:rPr>
        <w:t xml:space="preserve">Audit </w:t>
      </w:r>
      <w:r w:rsidR="00F83317" w:rsidRPr="00A46F17">
        <w:rPr>
          <w:b/>
          <w:sz w:val="28"/>
          <w:szCs w:val="28"/>
        </w:rPr>
        <w:t xml:space="preserve">Invoice </w:t>
      </w:r>
      <w:r w:rsidR="003265E1" w:rsidRPr="00A46F17">
        <w:rPr>
          <w:b/>
          <w:sz w:val="28"/>
          <w:szCs w:val="28"/>
        </w:rPr>
        <w:t>Procedure</w:t>
      </w:r>
    </w:p>
    <w:p w14:paraId="2384BEF9" w14:textId="77777777" w:rsidR="005454F4" w:rsidRDefault="005454F4" w:rsidP="00A823BF">
      <w:pPr>
        <w:contextualSpacing/>
        <w:rPr>
          <w:b/>
          <w:sz w:val="28"/>
          <w:szCs w:val="28"/>
        </w:rPr>
      </w:pPr>
    </w:p>
    <w:p w14:paraId="369F11E0" w14:textId="77777777" w:rsidR="00C410AB" w:rsidRDefault="005454F4" w:rsidP="00DE19F9">
      <w:pPr>
        <w:spacing w:after="0" w:line="240" w:lineRule="auto"/>
        <w:contextualSpacing/>
      </w:pPr>
      <w:r>
        <w:t xml:space="preserve">The </w:t>
      </w:r>
      <w:r w:rsidR="00DE19F9">
        <w:t xml:space="preserve">SDDOT </w:t>
      </w:r>
      <w:r>
        <w:t>Pro</w:t>
      </w:r>
      <w:r w:rsidR="00DE19F9">
        <w:t>ject</w:t>
      </w:r>
      <w:r>
        <w:t xml:space="preserve"> Manager/Originating Office must do an initial review to all documentation before sending the voucher/invoice to Audits for payment. Items to be reviewed include but are not limited to: hours worked, overtime, travel, subcontractors, deliverables, and supporting documentation</w:t>
      </w:r>
      <w:r w:rsidR="00B168D9">
        <w:t xml:space="preserve">. </w:t>
      </w:r>
      <w:r w:rsidR="00C410AB">
        <w:t>If applicable, t</w:t>
      </w:r>
      <w:r w:rsidR="001A41E4">
        <w:t>he originating office</w:t>
      </w:r>
      <w:r>
        <w:t xml:space="preserve"> </w:t>
      </w:r>
      <w:r w:rsidR="00DE19F9">
        <w:t xml:space="preserve">will </w:t>
      </w:r>
      <w:r>
        <w:t>make</w:t>
      </w:r>
      <w:r w:rsidR="00DE19F9">
        <w:t xml:space="preserve"> any</w:t>
      </w:r>
      <w:r>
        <w:t xml:space="preserve"> necessary changes</w:t>
      </w:r>
      <w:r w:rsidR="00DE19F9">
        <w:t xml:space="preserve"> before sending to Audits</w:t>
      </w:r>
      <w:r w:rsidR="00C410AB">
        <w:t xml:space="preserve"> attached to the completed DOT-904 form</w:t>
      </w:r>
      <w:r>
        <w:t>.</w:t>
      </w:r>
      <w:r w:rsidR="00DE19F9">
        <w:t xml:space="preserve"> </w:t>
      </w:r>
    </w:p>
    <w:p w14:paraId="0F7D99CA" w14:textId="77777777" w:rsidR="00C410AB" w:rsidRDefault="00C410AB" w:rsidP="00DE19F9">
      <w:pPr>
        <w:spacing w:after="0" w:line="240" w:lineRule="auto"/>
        <w:contextualSpacing/>
      </w:pPr>
    </w:p>
    <w:p w14:paraId="6081A4EF" w14:textId="77777777" w:rsidR="00874D2D" w:rsidRDefault="00DE19F9" w:rsidP="00DE19F9">
      <w:pPr>
        <w:spacing w:after="0" w:line="240" w:lineRule="auto"/>
        <w:contextualSpacing/>
      </w:pPr>
      <w:r w:rsidRPr="00A46F17">
        <w:t>The SDDOT Project Managers are responsible for addressing the procedures/guidance of the milestones and deliverables based on the complexity of the agreement</w:t>
      </w:r>
      <w:r w:rsidR="00C410AB">
        <w:t xml:space="preserve"> on current and future projects. They are also responsible </w:t>
      </w:r>
      <w:r w:rsidR="00914050">
        <w:t>for keeping a log/spreadsheet to track</w:t>
      </w:r>
      <w:r w:rsidR="00C410AB">
        <w:t xml:space="preserve"> all payments and fixed fees paid. </w:t>
      </w:r>
      <w:r w:rsidR="007626B2">
        <w:t>Negotiated Contracts is an Audit</w:t>
      </w:r>
      <w:r w:rsidR="00630204">
        <w:t>’</w:t>
      </w:r>
      <w:r w:rsidR="007626B2">
        <w:t>s tool and may not be used as the originating office’s log/spreadsheet for payments</w:t>
      </w:r>
      <w:r w:rsidR="00914050">
        <w:t>, but only as a reference for reconciling</w:t>
      </w:r>
      <w:r w:rsidR="007626B2">
        <w:t>.</w:t>
      </w:r>
      <w:r w:rsidR="00C362CF">
        <w:t xml:space="preserve"> </w:t>
      </w:r>
    </w:p>
    <w:p w14:paraId="68A15AC2" w14:textId="77777777" w:rsidR="00874D2D" w:rsidRDefault="00874D2D" w:rsidP="00DE19F9">
      <w:pPr>
        <w:spacing w:after="0" w:line="240" w:lineRule="auto"/>
        <w:contextualSpacing/>
      </w:pPr>
    </w:p>
    <w:p w14:paraId="1123C0F0" w14:textId="77777777" w:rsidR="00874D2D" w:rsidRDefault="00874D2D" w:rsidP="00DE19F9">
      <w:pPr>
        <w:spacing w:after="0" w:line="240" w:lineRule="auto"/>
        <w:contextualSpacing/>
      </w:pPr>
      <w:r>
        <w:t xml:space="preserve">Submission of the completed SDDOT Form 996 Work Order Closeout Form is required upon submission of the final invoice. </w:t>
      </w:r>
    </w:p>
    <w:p w14:paraId="23AD5F5A" w14:textId="77777777" w:rsidR="00DE19F9" w:rsidRDefault="00DE19F9" w:rsidP="00A823BF">
      <w:pPr>
        <w:pStyle w:val="ListParagraph"/>
        <w:ind w:left="0"/>
      </w:pPr>
    </w:p>
    <w:p w14:paraId="4D2FC0F5" w14:textId="77777777" w:rsidR="003265E1" w:rsidRPr="00A46F17" w:rsidRDefault="00F83317" w:rsidP="00A823BF">
      <w:pPr>
        <w:pStyle w:val="ListParagraph"/>
        <w:ind w:left="0"/>
      </w:pPr>
      <w:r w:rsidRPr="00A46F17">
        <w:t xml:space="preserve">The SDDOT </w:t>
      </w:r>
      <w:r w:rsidR="0033278C" w:rsidRPr="00A46F17">
        <w:t xml:space="preserve">Audits </w:t>
      </w:r>
      <w:r w:rsidRPr="00A46F17">
        <w:t xml:space="preserve">Office </w:t>
      </w:r>
      <w:r w:rsidR="0033278C" w:rsidRPr="00A46F17">
        <w:t>will</w:t>
      </w:r>
      <w:r w:rsidR="003265E1" w:rsidRPr="00A46F17">
        <w:t xml:space="preserve"> review all documentatio</w:t>
      </w:r>
      <w:r w:rsidRPr="00A46F17">
        <w:t xml:space="preserve">n submitted by the </w:t>
      </w:r>
      <w:r w:rsidR="00DE19F9">
        <w:t>originating office</w:t>
      </w:r>
      <w:r w:rsidRPr="00A46F17">
        <w:t xml:space="preserve"> and may</w:t>
      </w:r>
      <w:r w:rsidR="003265E1" w:rsidRPr="00A46F17">
        <w:t xml:space="preserve"> request needed documentation while performing the following aud</w:t>
      </w:r>
      <w:r w:rsidR="00DF6549" w:rsidRPr="00A46F17">
        <w:t xml:space="preserve">it procedures. Invoices without the following information will be returned to the originating SDDOT office for correction. </w:t>
      </w:r>
      <w:r w:rsidR="003F2579">
        <w:t>(</w:t>
      </w:r>
      <w:hyperlink r:id="rId11" w:history="1">
        <w:r w:rsidR="003F2579" w:rsidRPr="003F2579">
          <w:rPr>
            <w:rStyle w:val="Hyperlink"/>
          </w:rPr>
          <w:t>Voucher Checklist</w:t>
        </w:r>
      </w:hyperlink>
      <w:r w:rsidR="003F2579">
        <w:t>)</w:t>
      </w:r>
    </w:p>
    <w:p w14:paraId="3C0A58DC" w14:textId="77777777" w:rsidR="00F83317" w:rsidRPr="00A46F17" w:rsidRDefault="00455C4E" w:rsidP="00A823BF">
      <w:pPr>
        <w:spacing w:after="0" w:line="240" w:lineRule="auto"/>
        <w:contextualSpacing/>
      </w:pPr>
      <w:r>
        <w:t xml:space="preserve">For engineering work order invoices, </w:t>
      </w:r>
      <w:r w:rsidR="00F83317" w:rsidRPr="00A46F17">
        <w:t>Audits will work with the LPA to ensure that all c</w:t>
      </w:r>
      <w:r>
        <w:t>osts submitted by the consultant</w:t>
      </w:r>
      <w:r w:rsidR="00F83317" w:rsidRPr="00A46F17">
        <w:t xml:space="preserve"> for reimbursement/payment conform to tasks, subtasks, etc., hours and other expenses must be categorized in a corresponding manner. If a lump-sum agreement, costs do not need to be categorized unless partial payments are requested. </w:t>
      </w:r>
    </w:p>
    <w:p w14:paraId="73FFD24D" w14:textId="77777777" w:rsidR="00E06826" w:rsidRPr="00A46F17" w:rsidRDefault="00E06826" w:rsidP="00A823BF">
      <w:pPr>
        <w:spacing w:after="0" w:line="240" w:lineRule="auto"/>
        <w:contextualSpacing/>
      </w:pPr>
    </w:p>
    <w:p w14:paraId="13D563F7" w14:textId="77777777" w:rsidR="006044F2" w:rsidRPr="00A46F17" w:rsidRDefault="006044F2" w:rsidP="00A823BF">
      <w:pPr>
        <w:spacing w:after="0" w:line="240" w:lineRule="auto"/>
        <w:contextualSpacing/>
        <w:rPr>
          <w:b/>
        </w:rPr>
      </w:pPr>
      <w:r w:rsidRPr="00A46F17">
        <w:rPr>
          <w:b/>
        </w:rPr>
        <w:t>Invoice Requirements</w:t>
      </w:r>
      <w:r w:rsidR="00455C4E">
        <w:rPr>
          <w:b/>
        </w:rPr>
        <w:t xml:space="preserve"> could</w:t>
      </w:r>
      <w:r w:rsidR="002E44D1" w:rsidRPr="00A46F17">
        <w:rPr>
          <w:b/>
        </w:rPr>
        <w:t xml:space="preserve"> </w:t>
      </w:r>
      <w:r w:rsidR="00455C4E">
        <w:rPr>
          <w:b/>
        </w:rPr>
        <w:t>include but are not limited to:</w:t>
      </w:r>
    </w:p>
    <w:p w14:paraId="7C68BDDD" w14:textId="77777777" w:rsidR="006044F2" w:rsidRPr="00A46F17" w:rsidRDefault="006044F2" w:rsidP="00A823BF">
      <w:pPr>
        <w:spacing w:after="0" w:line="240" w:lineRule="auto"/>
        <w:contextualSpacing/>
      </w:pPr>
    </w:p>
    <w:p w14:paraId="5948BDE5" w14:textId="77777777" w:rsidR="006044F2" w:rsidRPr="00A46F17" w:rsidRDefault="006044F2" w:rsidP="00A823BF">
      <w:pPr>
        <w:pStyle w:val="ListParagraph"/>
        <w:numPr>
          <w:ilvl w:val="0"/>
          <w:numId w:val="3"/>
        </w:numPr>
        <w:spacing w:after="0" w:line="240" w:lineRule="auto"/>
      </w:pPr>
      <w:r w:rsidRPr="00A46F17">
        <w:t>Overhead provisional rates</w:t>
      </w:r>
      <w:r w:rsidR="00905717" w:rsidRPr="00A46F17">
        <w:t xml:space="preserve"> (Indirect Cost Rate)</w:t>
      </w:r>
      <w:r w:rsidRPr="00A46F17">
        <w:t xml:space="preserve"> are up to date</w:t>
      </w:r>
    </w:p>
    <w:p w14:paraId="56A9E8B6" w14:textId="77777777" w:rsidR="00905717" w:rsidRPr="00A46F17" w:rsidRDefault="00905717" w:rsidP="00690620">
      <w:pPr>
        <w:pStyle w:val="ListParagraph"/>
        <w:numPr>
          <w:ilvl w:val="1"/>
          <w:numId w:val="18"/>
        </w:numPr>
        <w:spacing w:after="0" w:line="240" w:lineRule="auto"/>
        <w:ind w:left="1800"/>
      </w:pPr>
      <w:r w:rsidRPr="00A46F17">
        <w:t xml:space="preserve">Consultant must claim the </w:t>
      </w:r>
      <w:r w:rsidR="00D25995">
        <w:t xml:space="preserve">most current </w:t>
      </w:r>
      <w:r w:rsidRPr="00A46F17">
        <w:t xml:space="preserve">approved overhead rate </w:t>
      </w:r>
      <w:r w:rsidR="00D25995">
        <w:t xml:space="preserve">on </w:t>
      </w:r>
      <w:r w:rsidRPr="00A46F17">
        <w:t>invoices</w:t>
      </w:r>
    </w:p>
    <w:p w14:paraId="4F5164E2" w14:textId="77777777" w:rsidR="00905717" w:rsidRDefault="002F0700" w:rsidP="00690620">
      <w:pPr>
        <w:pStyle w:val="ListParagraph"/>
        <w:numPr>
          <w:ilvl w:val="1"/>
          <w:numId w:val="18"/>
        </w:numPr>
        <w:spacing w:after="0" w:line="240" w:lineRule="auto"/>
        <w:ind w:left="1800"/>
      </w:pPr>
      <w:r>
        <w:t>Invoices that fall after the approval overhead letter date must be billed at the new overhead rate. (See True-Up Process)</w:t>
      </w:r>
    </w:p>
    <w:p w14:paraId="009818FB" w14:textId="77777777" w:rsidR="00A30C85" w:rsidRPr="00E8586D" w:rsidRDefault="00E8586D" w:rsidP="00E43BCB">
      <w:pPr>
        <w:pStyle w:val="ListParagraph"/>
        <w:spacing w:after="0" w:line="240" w:lineRule="auto"/>
        <w:ind w:left="2160"/>
        <w:rPr>
          <w:b/>
        </w:rPr>
      </w:pPr>
      <w:r w:rsidRPr="00E8586D">
        <w:rPr>
          <w:b/>
        </w:rPr>
        <w:t>According to the AASHTO Uniform Audit and Accounting Guide – in accordance with 23 U.S.C. 112(D) and 23 CFR 172.7(b), indirect cost rates are applicable for a one-year period, and engineering consultants are required to update their indirect cost rates annually.</w:t>
      </w:r>
    </w:p>
    <w:p w14:paraId="660317B8" w14:textId="77777777" w:rsidR="00DF6549" w:rsidRPr="00A46F17" w:rsidRDefault="00DF6549" w:rsidP="00A823BF">
      <w:pPr>
        <w:pStyle w:val="ListParagraph"/>
        <w:numPr>
          <w:ilvl w:val="0"/>
          <w:numId w:val="3"/>
        </w:numPr>
        <w:spacing w:after="0" w:line="240" w:lineRule="auto"/>
      </w:pPr>
      <w:r w:rsidRPr="00A46F17">
        <w:t>DOT 904 Form</w:t>
      </w:r>
    </w:p>
    <w:p w14:paraId="1FB1D313" w14:textId="77777777" w:rsidR="006044F2" w:rsidRPr="00A46F17" w:rsidRDefault="006044F2" w:rsidP="00A823BF">
      <w:pPr>
        <w:pStyle w:val="ListParagraph"/>
        <w:numPr>
          <w:ilvl w:val="0"/>
          <w:numId w:val="3"/>
        </w:numPr>
        <w:spacing w:after="0" w:line="240" w:lineRule="auto"/>
      </w:pPr>
      <w:r w:rsidRPr="00A46F17">
        <w:t>Review proposal cost(s) including work orders and amendments</w:t>
      </w:r>
    </w:p>
    <w:p w14:paraId="03FB4E0E" w14:textId="77777777" w:rsidR="006044F2" w:rsidRPr="00A46F17" w:rsidRDefault="006044F2" w:rsidP="00A823BF">
      <w:pPr>
        <w:pStyle w:val="ListParagraph"/>
        <w:numPr>
          <w:ilvl w:val="0"/>
          <w:numId w:val="3"/>
        </w:numPr>
        <w:spacing w:after="0" w:line="240" w:lineRule="auto"/>
      </w:pPr>
      <w:r w:rsidRPr="00A46F17">
        <w:t>Project cost(s) as a whole or by task</w:t>
      </w:r>
    </w:p>
    <w:p w14:paraId="5AEE33DE" w14:textId="77777777" w:rsidR="006044F2" w:rsidRPr="00A46F17" w:rsidRDefault="006044F2" w:rsidP="00A823BF">
      <w:pPr>
        <w:pStyle w:val="ListParagraph"/>
        <w:numPr>
          <w:ilvl w:val="0"/>
          <w:numId w:val="3"/>
        </w:numPr>
        <w:spacing w:after="0" w:line="240" w:lineRule="auto"/>
      </w:pPr>
      <w:r w:rsidRPr="00A46F17">
        <w:t xml:space="preserve">Current </w:t>
      </w:r>
      <w:r w:rsidR="00F83317" w:rsidRPr="00A46F17">
        <w:t xml:space="preserve">approved labor, overhead, and direct cost </w:t>
      </w:r>
      <w:r w:rsidRPr="00A46F17">
        <w:t>rates on file</w:t>
      </w:r>
    </w:p>
    <w:p w14:paraId="7F48C21B" w14:textId="77777777" w:rsidR="006044F2" w:rsidRPr="00A46F17" w:rsidRDefault="006044F2" w:rsidP="00A823BF">
      <w:pPr>
        <w:pStyle w:val="ListParagraph"/>
        <w:numPr>
          <w:ilvl w:val="0"/>
          <w:numId w:val="3"/>
        </w:numPr>
        <w:spacing w:after="0" w:line="240" w:lineRule="auto"/>
      </w:pPr>
      <w:r w:rsidRPr="00A46F17">
        <w:t xml:space="preserve">Fixed fees (not exceeding 15%) </w:t>
      </w:r>
    </w:p>
    <w:p w14:paraId="254B8CAE" w14:textId="77777777" w:rsidR="006044F2" w:rsidRPr="00A46F17" w:rsidRDefault="00455C4E" w:rsidP="00A823BF">
      <w:pPr>
        <w:pStyle w:val="ListParagraph"/>
        <w:numPr>
          <w:ilvl w:val="0"/>
          <w:numId w:val="3"/>
        </w:numPr>
        <w:spacing w:after="0" w:line="240" w:lineRule="auto"/>
      </w:pPr>
      <w:r>
        <w:t>Sub consultants (23 CFR 172</w:t>
      </w:r>
      <w:r w:rsidR="006044F2" w:rsidRPr="00A46F17">
        <w:t xml:space="preserve"> for sub</w:t>
      </w:r>
      <w:r w:rsidR="00F83317" w:rsidRPr="00A46F17">
        <w:t>contract</w:t>
      </w:r>
      <w:r w:rsidR="006044F2" w:rsidRPr="00A46F17">
        <w:t xml:space="preserve"> procedure)</w:t>
      </w:r>
    </w:p>
    <w:p w14:paraId="5E60C740" w14:textId="77777777" w:rsidR="006044F2" w:rsidRPr="00A46F17" w:rsidRDefault="006044F2" w:rsidP="00A823BF">
      <w:pPr>
        <w:pStyle w:val="ListParagraph"/>
        <w:numPr>
          <w:ilvl w:val="0"/>
          <w:numId w:val="4"/>
        </w:numPr>
        <w:spacing w:after="0" w:line="240" w:lineRule="auto"/>
      </w:pPr>
      <w:r w:rsidRPr="00A46F17">
        <w:t>Contracts</w:t>
      </w:r>
    </w:p>
    <w:p w14:paraId="41C8CC80" w14:textId="77777777" w:rsidR="006044F2" w:rsidRPr="00A46F17" w:rsidRDefault="006044F2" w:rsidP="00A823BF">
      <w:pPr>
        <w:pStyle w:val="ListParagraph"/>
        <w:numPr>
          <w:ilvl w:val="0"/>
          <w:numId w:val="4"/>
        </w:numPr>
        <w:spacing w:after="0" w:line="240" w:lineRule="auto"/>
      </w:pPr>
      <w:r w:rsidRPr="00A46F17">
        <w:t>Rates</w:t>
      </w:r>
    </w:p>
    <w:p w14:paraId="4F5A13B4" w14:textId="77777777" w:rsidR="006044F2" w:rsidRPr="00A46F17" w:rsidRDefault="006044F2" w:rsidP="00A823BF">
      <w:pPr>
        <w:pStyle w:val="ListParagraph"/>
        <w:numPr>
          <w:ilvl w:val="0"/>
          <w:numId w:val="3"/>
        </w:numPr>
        <w:spacing w:after="0" w:line="240" w:lineRule="auto"/>
      </w:pPr>
      <w:r w:rsidRPr="00A46F17">
        <w:t xml:space="preserve">Authorization for Federal Funding </w:t>
      </w:r>
    </w:p>
    <w:p w14:paraId="4DB2CBFD" w14:textId="77777777" w:rsidR="006044F2" w:rsidRPr="00A46F17" w:rsidRDefault="006044F2" w:rsidP="00A823BF">
      <w:pPr>
        <w:pStyle w:val="ListParagraph"/>
        <w:numPr>
          <w:ilvl w:val="0"/>
          <w:numId w:val="3"/>
        </w:numPr>
        <w:spacing w:after="0" w:line="240" w:lineRule="auto"/>
      </w:pPr>
      <w:r w:rsidRPr="00A46F17">
        <w:t>Eligibility of direct expenses</w:t>
      </w:r>
    </w:p>
    <w:p w14:paraId="5F487C74" w14:textId="77777777" w:rsidR="00D75536" w:rsidRPr="00A46F17" w:rsidRDefault="00D75536" w:rsidP="00A823BF">
      <w:pPr>
        <w:pStyle w:val="ListParagraph"/>
        <w:numPr>
          <w:ilvl w:val="0"/>
          <w:numId w:val="3"/>
        </w:numPr>
        <w:spacing w:after="0" w:line="240" w:lineRule="auto"/>
      </w:pPr>
      <w:r w:rsidRPr="00A46F17">
        <w:t>Large Contracts exceeding $750,000 or small contracts that add scope to exceed $750,000</w:t>
      </w:r>
    </w:p>
    <w:p w14:paraId="7ADB5C48" w14:textId="77777777" w:rsidR="00D75536" w:rsidRPr="00A46F17" w:rsidRDefault="00D75536" w:rsidP="00A823BF">
      <w:pPr>
        <w:pStyle w:val="ListParagraph"/>
        <w:numPr>
          <w:ilvl w:val="0"/>
          <w:numId w:val="4"/>
        </w:numPr>
        <w:spacing w:after="0" w:line="240" w:lineRule="auto"/>
      </w:pPr>
      <w:r w:rsidRPr="00A46F17">
        <w:t>Tasks</w:t>
      </w:r>
    </w:p>
    <w:p w14:paraId="4C7036CF" w14:textId="77777777" w:rsidR="00D75536" w:rsidRPr="00A46F17" w:rsidRDefault="00D75536" w:rsidP="00A823BF">
      <w:pPr>
        <w:pStyle w:val="ListParagraph"/>
        <w:numPr>
          <w:ilvl w:val="0"/>
          <w:numId w:val="4"/>
        </w:numPr>
        <w:spacing w:after="0" w:line="240" w:lineRule="auto"/>
      </w:pPr>
      <w:r w:rsidRPr="00A46F17">
        <w:t>Subtasks</w:t>
      </w:r>
    </w:p>
    <w:p w14:paraId="07F37865" w14:textId="77777777" w:rsidR="00D75536" w:rsidRPr="00A46F17" w:rsidRDefault="00D75536" w:rsidP="00A823BF">
      <w:pPr>
        <w:pStyle w:val="ListParagraph"/>
        <w:numPr>
          <w:ilvl w:val="0"/>
          <w:numId w:val="3"/>
        </w:numPr>
        <w:spacing w:after="0" w:line="240" w:lineRule="auto"/>
      </w:pPr>
      <w:r w:rsidRPr="00A46F17">
        <w:t>Cost breakdowns consistent with the prime contract are needed for all subcontracts at all tiers</w:t>
      </w:r>
    </w:p>
    <w:p w14:paraId="225E8253" w14:textId="77777777" w:rsidR="00230FCF" w:rsidRDefault="00230FCF" w:rsidP="00A823BF">
      <w:pPr>
        <w:pStyle w:val="ListParagraph"/>
        <w:numPr>
          <w:ilvl w:val="0"/>
          <w:numId w:val="3"/>
        </w:numPr>
        <w:spacing w:after="0" w:line="240" w:lineRule="auto"/>
      </w:pPr>
      <w:r w:rsidRPr="00A46F17">
        <w:t>Mileage</w:t>
      </w:r>
    </w:p>
    <w:p w14:paraId="1EBA7682" w14:textId="77777777" w:rsidR="00230FCF" w:rsidRPr="00A46F17" w:rsidRDefault="00230FCF" w:rsidP="00690620">
      <w:pPr>
        <w:pStyle w:val="ListParagraph"/>
        <w:numPr>
          <w:ilvl w:val="1"/>
          <w:numId w:val="17"/>
        </w:numPr>
        <w:spacing w:after="0" w:line="240" w:lineRule="auto"/>
        <w:ind w:left="1800"/>
      </w:pPr>
      <w:r w:rsidRPr="00A46F17">
        <w:t>If a consultant wants to use a different rate, they must submit the information for an approved rate</w:t>
      </w:r>
    </w:p>
    <w:p w14:paraId="72611039" w14:textId="77777777" w:rsidR="00230FCF" w:rsidRPr="00A46F17" w:rsidRDefault="00230FCF" w:rsidP="00690620">
      <w:pPr>
        <w:pStyle w:val="ListParagraph"/>
        <w:numPr>
          <w:ilvl w:val="1"/>
          <w:numId w:val="17"/>
        </w:numPr>
        <w:spacing w:after="0" w:line="240" w:lineRule="auto"/>
        <w:ind w:left="1800"/>
      </w:pPr>
      <w:r w:rsidRPr="00A46F17">
        <w:t>Consultant must use a current/up-to-date approved rate if different from IRS rate (old rates do not apply)</w:t>
      </w:r>
    </w:p>
    <w:p w14:paraId="10B840FD" w14:textId="77777777" w:rsidR="00230FCF" w:rsidRDefault="00230FCF" w:rsidP="00690620">
      <w:pPr>
        <w:pStyle w:val="ListParagraph"/>
        <w:numPr>
          <w:ilvl w:val="1"/>
          <w:numId w:val="17"/>
        </w:numPr>
        <w:spacing w:after="0" w:line="240" w:lineRule="auto"/>
        <w:ind w:left="1800"/>
      </w:pPr>
      <w:r w:rsidRPr="00A46F17">
        <w:t>If no rate is approved or no current rate is approved, the IRS rate will be used</w:t>
      </w:r>
    </w:p>
    <w:p w14:paraId="07A1DB24" w14:textId="77777777" w:rsidR="00051A91" w:rsidRDefault="00051A91" w:rsidP="00051A91">
      <w:pPr>
        <w:pStyle w:val="ListParagraph"/>
        <w:numPr>
          <w:ilvl w:val="0"/>
          <w:numId w:val="3"/>
        </w:numPr>
        <w:spacing w:after="0" w:line="240" w:lineRule="auto"/>
      </w:pPr>
      <w:r>
        <w:t>Car/Taxi services like Uber or Lift are subject to Audit’s discretion of reasonable costs</w:t>
      </w:r>
      <w:r w:rsidR="00D704D7">
        <w:t xml:space="preserve"> and may be reduced or deducted</w:t>
      </w:r>
      <w:r>
        <w:t xml:space="preserve">. If you chose to use services like these, all backup information will be needed such as miles to destination, charge per mile or minute, </w:t>
      </w:r>
      <w:r w:rsidR="00D704D7">
        <w:t xml:space="preserve">and </w:t>
      </w:r>
      <w:r>
        <w:t xml:space="preserve">location of the service. </w:t>
      </w:r>
    </w:p>
    <w:p w14:paraId="6760B484" w14:textId="77777777" w:rsidR="004A144A" w:rsidRDefault="004A144A" w:rsidP="004A144A">
      <w:pPr>
        <w:pStyle w:val="ListParagraph"/>
        <w:spacing w:after="0" w:line="240" w:lineRule="auto"/>
        <w:ind w:left="1080"/>
      </w:pPr>
    </w:p>
    <w:p w14:paraId="03FA0DE3" w14:textId="77777777" w:rsidR="006044F2" w:rsidRPr="00A46F17" w:rsidRDefault="00DF6549" w:rsidP="00A823BF">
      <w:pPr>
        <w:spacing w:after="0" w:line="240" w:lineRule="auto"/>
        <w:contextualSpacing/>
        <w:rPr>
          <w:b/>
        </w:rPr>
      </w:pPr>
      <w:r w:rsidRPr="00A46F17">
        <w:rPr>
          <w:b/>
        </w:rPr>
        <w:t>Invoice</w:t>
      </w:r>
      <w:r w:rsidR="006044F2" w:rsidRPr="00A46F17">
        <w:rPr>
          <w:b/>
        </w:rPr>
        <w:t xml:space="preserve"> Review</w:t>
      </w:r>
    </w:p>
    <w:p w14:paraId="2AF38074" w14:textId="77777777" w:rsidR="006044F2" w:rsidRPr="00A46F17" w:rsidRDefault="006044F2" w:rsidP="00A823BF">
      <w:pPr>
        <w:spacing w:after="0" w:line="240" w:lineRule="auto"/>
        <w:contextualSpacing/>
      </w:pPr>
      <w:r w:rsidRPr="00A46F17">
        <w:lastRenderedPageBreak/>
        <w:t xml:space="preserve">Direct </w:t>
      </w:r>
      <w:r w:rsidR="00F83317" w:rsidRPr="00A46F17">
        <w:t>costs that are eligible include</w:t>
      </w:r>
      <w:r w:rsidRPr="00A46F17">
        <w:t xml:space="preserve"> but </w:t>
      </w:r>
      <w:r w:rsidR="00F83317" w:rsidRPr="00A46F17">
        <w:t xml:space="preserve">are </w:t>
      </w:r>
      <w:r w:rsidRPr="00A46F17">
        <w:t>not limited to</w:t>
      </w:r>
      <w:r w:rsidR="0062472D" w:rsidRPr="00A46F17">
        <w:t>:</w:t>
      </w:r>
      <w:r w:rsidRPr="00A46F17">
        <w:t xml:space="preserve"> </w:t>
      </w:r>
    </w:p>
    <w:p w14:paraId="5A93A473" w14:textId="77777777" w:rsidR="0058187E" w:rsidRPr="00A46F17" w:rsidRDefault="0058187E" w:rsidP="00A823BF">
      <w:pPr>
        <w:spacing w:after="0" w:line="240" w:lineRule="auto"/>
        <w:contextualSpacing/>
      </w:pPr>
    </w:p>
    <w:p w14:paraId="6D18C676" w14:textId="77777777" w:rsidR="000930CA" w:rsidRDefault="00F83317" w:rsidP="000930CA">
      <w:pPr>
        <w:pStyle w:val="ListParagraph"/>
        <w:numPr>
          <w:ilvl w:val="0"/>
          <w:numId w:val="2"/>
        </w:numPr>
        <w:spacing w:after="0" w:line="240" w:lineRule="auto"/>
      </w:pPr>
      <w:r w:rsidRPr="00A46F17">
        <w:t>Personnel labor hours, wage rates, tasks performed</w:t>
      </w:r>
    </w:p>
    <w:p w14:paraId="6A829247" w14:textId="77777777" w:rsidR="006044F2" w:rsidRPr="00A46F17" w:rsidRDefault="006044F2" w:rsidP="00A823BF">
      <w:pPr>
        <w:pStyle w:val="ListParagraph"/>
        <w:numPr>
          <w:ilvl w:val="0"/>
          <w:numId w:val="2"/>
        </w:numPr>
        <w:spacing w:after="0" w:line="240" w:lineRule="auto"/>
      </w:pPr>
      <w:r w:rsidRPr="00A46F17">
        <w:t>Overhead</w:t>
      </w:r>
      <w:r w:rsidR="00F83317" w:rsidRPr="00A46F17">
        <w:t xml:space="preserve"> rates</w:t>
      </w:r>
      <w:r w:rsidRPr="00A46F17">
        <w:t xml:space="preserve"> (in % and amount)</w:t>
      </w:r>
    </w:p>
    <w:p w14:paraId="2E329FE9" w14:textId="77777777" w:rsidR="00F83317" w:rsidRPr="00A46F17" w:rsidRDefault="00F83317" w:rsidP="00A823BF">
      <w:pPr>
        <w:pStyle w:val="ListParagraph"/>
        <w:numPr>
          <w:ilvl w:val="0"/>
          <w:numId w:val="2"/>
        </w:numPr>
        <w:spacing w:after="0" w:line="240" w:lineRule="auto"/>
      </w:pPr>
      <w:r w:rsidRPr="00A46F17">
        <w:t>Fixed fee (% and amount)</w:t>
      </w:r>
    </w:p>
    <w:p w14:paraId="672D799F" w14:textId="77777777" w:rsidR="00F83317" w:rsidRPr="00A46F17" w:rsidRDefault="006044F2" w:rsidP="00A823BF">
      <w:pPr>
        <w:pStyle w:val="ListParagraph"/>
        <w:numPr>
          <w:ilvl w:val="0"/>
          <w:numId w:val="2"/>
        </w:numPr>
        <w:spacing w:after="0" w:line="240" w:lineRule="auto"/>
      </w:pPr>
      <w:r w:rsidRPr="00A46F17">
        <w:t>Cost of Money (in % and amount)</w:t>
      </w:r>
    </w:p>
    <w:p w14:paraId="569FA9A5" w14:textId="77777777" w:rsidR="006044F2" w:rsidRPr="00A46F17" w:rsidRDefault="006044F2" w:rsidP="00A823BF">
      <w:pPr>
        <w:pStyle w:val="ListParagraph"/>
        <w:numPr>
          <w:ilvl w:val="0"/>
          <w:numId w:val="2"/>
        </w:numPr>
        <w:spacing w:after="0" w:line="240" w:lineRule="auto"/>
      </w:pPr>
      <w:r w:rsidRPr="00A46F17">
        <w:t>Direct Expenses (quantities and rates listed)</w:t>
      </w:r>
    </w:p>
    <w:p w14:paraId="463BF376" w14:textId="77777777" w:rsidR="006044F2" w:rsidRPr="00A46F17" w:rsidRDefault="00F83317" w:rsidP="00A823BF">
      <w:pPr>
        <w:pStyle w:val="ListParagraph"/>
        <w:numPr>
          <w:ilvl w:val="0"/>
          <w:numId w:val="2"/>
        </w:numPr>
        <w:spacing w:after="0" w:line="240" w:lineRule="auto"/>
      </w:pPr>
      <w:r w:rsidRPr="00A46F17">
        <w:t>Remaining contract funds a</w:t>
      </w:r>
      <w:r w:rsidR="006044F2" w:rsidRPr="00A46F17">
        <w:t>vailability</w:t>
      </w:r>
    </w:p>
    <w:p w14:paraId="04F7CB84" w14:textId="77777777" w:rsidR="006044F2" w:rsidRPr="00A46F17" w:rsidRDefault="0062472D" w:rsidP="00A823BF">
      <w:pPr>
        <w:pStyle w:val="ListParagraph"/>
        <w:numPr>
          <w:ilvl w:val="0"/>
          <w:numId w:val="2"/>
        </w:numPr>
        <w:spacing w:after="0" w:line="240" w:lineRule="auto"/>
      </w:pPr>
      <w:r w:rsidRPr="00A46F17">
        <w:t>Signature of SDDOT contract administrator on DOT 904 form</w:t>
      </w:r>
    </w:p>
    <w:p w14:paraId="31472BAB" w14:textId="77777777" w:rsidR="00DE7EF9" w:rsidRDefault="0062472D" w:rsidP="00A823BF">
      <w:pPr>
        <w:pStyle w:val="ListParagraph"/>
        <w:numPr>
          <w:ilvl w:val="0"/>
          <w:numId w:val="2"/>
        </w:numPr>
        <w:spacing w:after="0" w:line="240" w:lineRule="auto"/>
      </w:pPr>
      <w:r w:rsidRPr="00A46F17">
        <w:t>Work period covered by invoice (begin and end dates)</w:t>
      </w:r>
    </w:p>
    <w:p w14:paraId="1263191D" w14:textId="77777777" w:rsidR="004657B2" w:rsidRPr="00A46F17" w:rsidRDefault="004657B2" w:rsidP="004657B2">
      <w:pPr>
        <w:pStyle w:val="ListParagraph"/>
        <w:spacing w:after="0" w:line="240" w:lineRule="auto"/>
        <w:ind w:left="1080"/>
      </w:pPr>
    </w:p>
    <w:p w14:paraId="7EC726C7" w14:textId="77777777" w:rsidR="00DF6549" w:rsidRPr="00A46F17" w:rsidRDefault="00F86516" w:rsidP="00A823BF">
      <w:pPr>
        <w:spacing w:after="0" w:line="240" w:lineRule="auto"/>
        <w:contextualSpacing/>
        <w:rPr>
          <w:b/>
        </w:rPr>
      </w:pPr>
      <w:r w:rsidRPr="00A46F17">
        <w:rPr>
          <w:b/>
        </w:rPr>
        <w:t>Additional Documentation</w:t>
      </w:r>
    </w:p>
    <w:p w14:paraId="392797CE" w14:textId="77777777" w:rsidR="00F86516" w:rsidRPr="00A46F17" w:rsidRDefault="00F86516" w:rsidP="00A823BF">
      <w:pPr>
        <w:spacing w:after="0" w:line="240" w:lineRule="auto"/>
        <w:contextualSpacing/>
      </w:pPr>
      <w:r w:rsidRPr="00A46F17">
        <w:t>Information that must be submitted with invoices</w:t>
      </w:r>
      <w:r w:rsidR="00986AFD" w:rsidRPr="00A46F17">
        <w:t>:</w:t>
      </w:r>
    </w:p>
    <w:p w14:paraId="3EF788E3" w14:textId="77777777" w:rsidR="00F86516" w:rsidRPr="00A46F17" w:rsidRDefault="00F86516" w:rsidP="00A823BF">
      <w:pPr>
        <w:spacing w:after="0" w:line="240" w:lineRule="auto"/>
        <w:contextualSpacing/>
      </w:pPr>
    </w:p>
    <w:p w14:paraId="394B3825" w14:textId="77777777" w:rsidR="00F86516" w:rsidRPr="00A46F17" w:rsidRDefault="00F86516" w:rsidP="00690620">
      <w:pPr>
        <w:pStyle w:val="ListParagraph"/>
        <w:numPr>
          <w:ilvl w:val="0"/>
          <w:numId w:val="8"/>
        </w:numPr>
        <w:spacing w:after="0" w:line="240" w:lineRule="auto"/>
      </w:pPr>
      <w:r w:rsidRPr="00A46F17">
        <w:t xml:space="preserve">Copies of travel </w:t>
      </w:r>
      <w:r w:rsidR="0062472D" w:rsidRPr="00A46F17">
        <w:t xml:space="preserve">expense </w:t>
      </w:r>
      <w:r w:rsidRPr="00A46F17">
        <w:t>detail</w:t>
      </w:r>
    </w:p>
    <w:p w14:paraId="15B5A874" w14:textId="77777777" w:rsidR="00F86516" w:rsidRPr="00A46F17" w:rsidRDefault="00F86516" w:rsidP="00690620">
      <w:pPr>
        <w:pStyle w:val="ListParagraph"/>
        <w:numPr>
          <w:ilvl w:val="1"/>
          <w:numId w:val="8"/>
        </w:numPr>
        <w:spacing w:after="0" w:line="240" w:lineRule="auto"/>
      </w:pPr>
      <w:r w:rsidRPr="00A46F17">
        <w:t>Airline Tickets</w:t>
      </w:r>
    </w:p>
    <w:p w14:paraId="750C28C7" w14:textId="77777777" w:rsidR="00F86516" w:rsidRPr="00A46F17" w:rsidRDefault="00F86516" w:rsidP="00690620">
      <w:pPr>
        <w:pStyle w:val="ListParagraph"/>
        <w:numPr>
          <w:ilvl w:val="1"/>
          <w:numId w:val="8"/>
        </w:numPr>
        <w:spacing w:after="0" w:line="240" w:lineRule="auto"/>
      </w:pPr>
      <w:r w:rsidRPr="00A46F17">
        <w:t>Employee Expense Report</w:t>
      </w:r>
    </w:p>
    <w:p w14:paraId="6E8554CC" w14:textId="77777777" w:rsidR="00F86516" w:rsidRPr="00A46F17" w:rsidRDefault="00F86516" w:rsidP="00690620">
      <w:pPr>
        <w:pStyle w:val="ListParagraph"/>
        <w:numPr>
          <w:ilvl w:val="1"/>
          <w:numId w:val="8"/>
        </w:numPr>
        <w:spacing w:after="0" w:line="240" w:lineRule="auto"/>
      </w:pPr>
      <w:r w:rsidRPr="00A46F17">
        <w:t>Lodging Receipts</w:t>
      </w:r>
    </w:p>
    <w:p w14:paraId="0C1315B7" w14:textId="77777777" w:rsidR="00D32B85" w:rsidRPr="00A46F17" w:rsidRDefault="00F86516" w:rsidP="00690620">
      <w:pPr>
        <w:pStyle w:val="ListParagraph"/>
        <w:numPr>
          <w:ilvl w:val="1"/>
          <w:numId w:val="8"/>
        </w:numPr>
        <w:spacing w:after="0" w:line="240" w:lineRule="auto"/>
      </w:pPr>
      <w:r w:rsidRPr="00A46F17">
        <w:t>Receipts for meals if company policy is to pay actual cost rather than a specified per diem amount</w:t>
      </w:r>
    </w:p>
    <w:p w14:paraId="5334CDD8" w14:textId="77777777" w:rsidR="00D32B85" w:rsidRPr="00A46F17" w:rsidRDefault="0018727A" w:rsidP="00690620">
      <w:pPr>
        <w:pStyle w:val="ListParagraph"/>
        <w:numPr>
          <w:ilvl w:val="2"/>
          <w:numId w:val="8"/>
        </w:numPr>
        <w:spacing w:after="0" w:line="240" w:lineRule="auto"/>
      </w:pPr>
      <w:r w:rsidRPr="00A46F17">
        <w:t xml:space="preserve">Our policy is to first follow the consultant’s policy on reimbursement of meals. </w:t>
      </w:r>
    </w:p>
    <w:p w14:paraId="2BC9B26F" w14:textId="04A86327" w:rsidR="0018727A" w:rsidRDefault="0018727A" w:rsidP="00690620">
      <w:pPr>
        <w:pStyle w:val="ListParagraph"/>
        <w:numPr>
          <w:ilvl w:val="2"/>
          <w:numId w:val="8"/>
        </w:numPr>
        <w:spacing w:after="0" w:line="240" w:lineRule="auto"/>
      </w:pPr>
      <w:r w:rsidRPr="00A46F17">
        <w:t xml:space="preserve">Meals will be reimbursed up to the current </w:t>
      </w:r>
      <w:r w:rsidR="00DE7EF9">
        <w:t xml:space="preserve">state </w:t>
      </w:r>
      <w:r w:rsidRPr="00A46F17">
        <w:t>per diem</w:t>
      </w:r>
      <w:r w:rsidR="00DE7EF9">
        <w:t xml:space="preserve"> amount.</w:t>
      </w:r>
    </w:p>
    <w:p w14:paraId="4AF09527" w14:textId="5EA26EBD" w:rsidR="005720CE" w:rsidRDefault="005720CE" w:rsidP="00690620">
      <w:pPr>
        <w:pStyle w:val="ListParagraph"/>
        <w:numPr>
          <w:ilvl w:val="2"/>
          <w:numId w:val="8"/>
        </w:numPr>
        <w:spacing w:after="0" w:line="240" w:lineRule="auto"/>
      </w:pPr>
      <w:r>
        <w:t xml:space="preserve">If there are extenuating circumstances that could not be controlled (such as weather) and no work was able to be done but they still had </w:t>
      </w:r>
      <w:r w:rsidR="00B23B36">
        <w:t>travel expenses</w:t>
      </w:r>
      <w:r>
        <w:t xml:space="preserve">, these expenses can be paid with reasonable justification. </w:t>
      </w:r>
      <w:r w:rsidRPr="00B23B36">
        <w:rPr>
          <w:i/>
          <w:iCs/>
        </w:rPr>
        <w:t>The Project Manager</w:t>
      </w:r>
      <w:r w:rsidR="00B23B36" w:rsidRPr="00B23B36">
        <w:rPr>
          <w:i/>
          <w:iCs/>
        </w:rPr>
        <w:t>/</w:t>
      </w:r>
      <w:r w:rsidRPr="00B23B36">
        <w:rPr>
          <w:i/>
          <w:iCs/>
        </w:rPr>
        <w:t>Audits reserve</w:t>
      </w:r>
      <w:r w:rsidR="00B23B36" w:rsidRPr="00B23B36">
        <w:rPr>
          <w:i/>
          <w:iCs/>
        </w:rPr>
        <w:t>s</w:t>
      </w:r>
      <w:r w:rsidRPr="00B23B36">
        <w:rPr>
          <w:i/>
          <w:iCs/>
        </w:rPr>
        <w:t xml:space="preserve"> the right to </w:t>
      </w:r>
      <w:r w:rsidR="00B23B36" w:rsidRPr="00B23B36">
        <w:rPr>
          <w:i/>
          <w:iCs/>
        </w:rPr>
        <w:t>approve or deny request for reimbursement on a case-by-case basis.</w:t>
      </w:r>
    </w:p>
    <w:p w14:paraId="73CF136E" w14:textId="77777777" w:rsidR="00F86516" w:rsidRPr="00A46F17" w:rsidRDefault="00F86516" w:rsidP="00690620">
      <w:pPr>
        <w:pStyle w:val="ListParagraph"/>
        <w:numPr>
          <w:ilvl w:val="1"/>
          <w:numId w:val="8"/>
        </w:numPr>
        <w:spacing w:after="0" w:line="240" w:lineRule="auto"/>
      </w:pPr>
      <w:r w:rsidRPr="00A46F17">
        <w:t>Credit card s</w:t>
      </w:r>
      <w:r w:rsidR="00DE7EF9">
        <w:t>tatements are not acceptable – m</w:t>
      </w:r>
      <w:r w:rsidRPr="00A46F17">
        <w:t>ust have receipts</w:t>
      </w:r>
    </w:p>
    <w:p w14:paraId="6A294B42" w14:textId="77777777" w:rsidR="00F86516" w:rsidRPr="00A46F17" w:rsidRDefault="00F86516" w:rsidP="00690620">
      <w:pPr>
        <w:pStyle w:val="ListParagraph"/>
        <w:numPr>
          <w:ilvl w:val="0"/>
          <w:numId w:val="8"/>
        </w:numPr>
        <w:spacing w:after="0" w:line="240" w:lineRule="auto"/>
      </w:pPr>
      <w:r w:rsidRPr="00A46F17">
        <w:t xml:space="preserve">Submitted </w:t>
      </w:r>
      <w:r w:rsidR="0062472D" w:rsidRPr="00A46F17">
        <w:t xml:space="preserve">travel expense </w:t>
      </w:r>
      <w:r w:rsidRPr="00A46F17">
        <w:t>information must include</w:t>
      </w:r>
      <w:r w:rsidR="0062472D" w:rsidRPr="00A46F17">
        <w:t>:</w:t>
      </w:r>
    </w:p>
    <w:p w14:paraId="4D391D2F" w14:textId="77777777" w:rsidR="00F86516" w:rsidRPr="00A46F17" w:rsidRDefault="00F86516" w:rsidP="00690620">
      <w:pPr>
        <w:pStyle w:val="ListParagraph"/>
        <w:numPr>
          <w:ilvl w:val="1"/>
          <w:numId w:val="8"/>
        </w:numPr>
        <w:spacing w:after="0" w:line="240" w:lineRule="auto"/>
      </w:pPr>
      <w:r w:rsidRPr="00A46F17">
        <w:t>Name of individuals involved</w:t>
      </w:r>
    </w:p>
    <w:p w14:paraId="232177BB" w14:textId="77777777" w:rsidR="00F86516" w:rsidRPr="00A46F17" w:rsidRDefault="00F86516" w:rsidP="00690620">
      <w:pPr>
        <w:pStyle w:val="ListParagraph"/>
        <w:numPr>
          <w:ilvl w:val="1"/>
          <w:numId w:val="8"/>
        </w:numPr>
        <w:spacing w:after="0" w:line="240" w:lineRule="auto"/>
      </w:pPr>
      <w:r w:rsidRPr="00A46F17">
        <w:t>Purpose of trip</w:t>
      </w:r>
    </w:p>
    <w:p w14:paraId="55FB0ABD" w14:textId="77777777" w:rsidR="00F86516" w:rsidRPr="00A46F17" w:rsidRDefault="00F86516" w:rsidP="00690620">
      <w:pPr>
        <w:pStyle w:val="ListParagraph"/>
        <w:numPr>
          <w:ilvl w:val="1"/>
          <w:numId w:val="8"/>
        </w:numPr>
        <w:spacing w:after="0" w:line="240" w:lineRule="auto"/>
      </w:pPr>
      <w:r w:rsidRPr="00A46F17">
        <w:t>Date and location</w:t>
      </w:r>
    </w:p>
    <w:p w14:paraId="1AD7CB48" w14:textId="77777777" w:rsidR="00F86516" w:rsidRPr="00A46F17" w:rsidRDefault="00F86516" w:rsidP="00690620">
      <w:pPr>
        <w:pStyle w:val="ListParagraph"/>
        <w:numPr>
          <w:ilvl w:val="0"/>
          <w:numId w:val="8"/>
        </w:numPr>
        <w:spacing w:after="0" w:line="240" w:lineRule="auto"/>
      </w:pPr>
      <w:r w:rsidRPr="00A46F17">
        <w:t>Copies of vendor invoices (not subcontracts)</w:t>
      </w:r>
    </w:p>
    <w:p w14:paraId="639E3BBB" w14:textId="77777777" w:rsidR="00F86516" w:rsidRPr="00A46F17" w:rsidRDefault="00F86516" w:rsidP="00690620">
      <w:pPr>
        <w:pStyle w:val="ListParagraph"/>
        <w:numPr>
          <w:ilvl w:val="0"/>
          <w:numId w:val="8"/>
        </w:numPr>
        <w:spacing w:after="0" w:line="240" w:lineRule="auto"/>
      </w:pPr>
      <w:r w:rsidRPr="00A46F17">
        <w:t>Copies of us</w:t>
      </w:r>
      <w:r w:rsidR="0062472D" w:rsidRPr="00A46F17">
        <w:t>ag</w:t>
      </w:r>
      <w:r w:rsidRPr="00A46F17">
        <w:t>e log</w:t>
      </w:r>
      <w:r w:rsidR="0062472D" w:rsidRPr="00A46F17">
        <w:t xml:space="preserve"> including but not limited to</w:t>
      </w:r>
      <w:r w:rsidRPr="00A46F17">
        <w:t>:</w:t>
      </w:r>
    </w:p>
    <w:p w14:paraId="48666613" w14:textId="77777777" w:rsidR="00F86516" w:rsidRPr="00A46F17" w:rsidRDefault="00F86516" w:rsidP="00690620">
      <w:pPr>
        <w:pStyle w:val="ListParagraph"/>
        <w:numPr>
          <w:ilvl w:val="1"/>
          <w:numId w:val="8"/>
        </w:numPr>
        <w:spacing w:after="0" w:line="240" w:lineRule="auto"/>
      </w:pPr>
      <w:r w:rsidRPr="00A46F17">
        <w:t>Company owned vehicles</w:t>
      </w:r>
    </w:p>
    <w:p w14:paraId="1B66CB62" w14:textId="77777777" w:rsidR="00F86516" w:rsidRPr="00A46F17" w:rsidRDefault="00F86516" w:rsidP="00690620">
      <w:pPr>
        <w:pStyle w:val="ListParagraph"/>
        <w:numPr>
          <w:ilvl w:val="1"/>
          <w:numId w:val="8"/>
        </w:numPr>
        <w:spacing w:after="0" w:line="240" w:lineRule="auto"/>
      </w:pPr>
      <w:r w:rsidRPr="00A46F17">
        <w:t>Copies</w:t>
      </w:r>
    </w:p>
    <w:p w14:paraId="51953855" w14:textId="77777777" w:rsidR="00F86516" w:rsidRPr="00A46F17" w:rsidRDefault="00F86516" w:rsidP="00690620">
      <w:pPr>
        <w:pStyle w:val="ListParagraph"/>
        <w:numPr>
          <w:ilvl w:val="1"/>
          <w:numId w:val="8"/>
        </w:numPr>
        <w:spacing w:after="0" w:line="240" w:lineRule="auto"/>
      </w:pPr>
      <w:r w:rsidRPr="00A46F17">
        <w:t>Postage</w:t>
      </w:r>
    </w:p>
    <w:p w14:paraId="649EE487" w14:textId="77777777" w:rsidR="00F86516" w:rsidRPr="00A46F17" w:rsidRDefault="00F86516" w:rsidP="00690620">
      <w:pPr>
        <w:pStyle w:val="ListParagraph"/>
        <w:numPr>
          <w:ilvl w:val="1"/>
          <w:numId w:val="8"/>
        </w:numPr>
        <w:spacing w:after="0" w:line="240" w:lineRule="auto"/>
      </w:pPr>
      <w:r w:rsidRPr="00A46F17">
        <w:t>Telephone/ Fax</w:t>
      </w:r>
    </w:p>
    <w:p w14:paraId="3EB1EC1B" w14:textId="77777777" w:rsidR="00F86516" w:rsidRPr="00A46F17" w:rsidRDefault="00B16631" w:rsidP="00690620">
      <w:pPr>
        <w:pStyle w:val="ListParagraph"/>
        <w:numPr>
          <w:ilvl w:val="0"/>
          <w:numId w:val="8"/>
        </w:numPr>
        <w:spacing w:after="0" w:line="240" w:lineRule="auto"/>
      </w:pPr>
      <w:r w:rsidRPr="00A46F17">
        <w:t>Additional documentation is d</w:t>
      </w:r>
      <w:r w:rsidR="00F86516" w:rsidRPr="00A46F17">
        <w:t>etermined on a case-by-case basis</w:t>
      </w:r>
      <w:r w:rsidR="00070FF2" w:rsidRPr="00A46F17">
        <w:t xml:space="preserve"> per contract</w:t>
      </w:r>
    </w:p>
    <w:p w14:paraId="4ABB9236" w14:textId="77777777" w:rsidR="00F86516" w:rsidRDefault="0062472D" w:rsidP="00690620">
      <w:pPr>
        <w:pStyle w:val="ListParagraph"/>
        <w:numPr>
          <w:ilvl w:val="0"/>
          <w:numId w:val="8"/>
        </w:numPr>
        <w:spacing w:after="0" w:line="240" w:lineRule="auto"/>
      </w:pPr>
      <w:r w:rsidRPr="00A46F17">
        <w:t xml:space="preserve">Vendor’s experience with </w:t>
      </w:r>
      <w:r w:rsidR="00F86516" w:rsidRPr="00A46F17">
        <w:t>cost principles</w:t>
      </w:r>
    </w:p>
    <w:p w14:paraId="18E5099F" w14:textId="77777777" w:rsidR="000930CA" w:rsidRDefault="000930CA" w:rsidP="000930CA">
      <w:pPr>
        <w:spacing w:after="0" w:line="240" w:lineRule="auto"/>
      </w:pPr>
    </w:p>
    <w:p w14:paraId="25AED0BC" w14:textId="77777777" w:rsidR="000930CA" w:rsidRDefault="000930CA" w:rsidP="000930CA">
      <w:pPr>
        <w:spacing w:after="0" w:line="240" w:lineRule="auto"/>
        <w:rPr>
          <w:b/>
        </w:rPr>
      </w:pPr>
      <w:r w:rsidRPr="000930CA">
        <w:rPr>
          <w:b/>
        </w:rPr>
        <w:t>Overtime</w:t>
      </w:r>
    </w:p>
    <w:p w14:paraId="3E8A8A13" w14:textId="77777777" w:rsidR="000930CA" w:rsidRDefault="000930CA" w:rsidP="000930CA">
      <w:pPr>
        <w:pStyle w:val="BodyText"/>
        <w:tabs>
          <w:tab w:val="clear" w:pos="-720"/>
          <w:tab w:val="left" w:pos="1080"/>
        </w:tabs>
        <w:spacing w:after="200" w:line="276" w:lineRule="auto"/>
        <w:jc w:val="left"/>
        <w:rPr>
          <w:rFonts w:asciiTheme="minorHAnsi" w:hAnsiTheme="minorHAnsi" w:cs="Arial"/>
          <w:sz w:val="22"/>
          <w:szCs w:val="22"/>
        </w:rPr>
      </w:pPr>
      <w:r w:rsidRPr="00E029E0">
        <w:rPr>
          <w:rFonts w:asciiTheme="minorHAnsi" w:hAnsiTheme="minorHAnsi" w:cs="Arial"/>
          <w:sz w:val="22"/>
          <w:szCs w:val="22"/>
        </w:rPr>
        <w:t>No additional payment for premium time</w:t>
      </w:r>
      <w:r>
        <w:rPr>
          <w:rFonts w:asciiTheme="minorHAnsi" w:hAnsiTheme="minorHAnsi" w:cs="Arial"/>
          <w:sz w:val="22"/>
          <w:szCs w:val="22"/>
        </w:rPr>
        <w:t xml:space="preserve"> (overtime)</w:t>
      </w:r>
      <w:r w:rsidRPr="00E029E0">
        <w:rPr>
          <w:rFonts w:asciiTheme="minorHAnsi" w:hAnsiTheme="minorHAnsi" w:cs="Arial"/>
          <w:sz w:val="22"/>
          <w:szCs w:val="22"/>
        </w:rPr>
        <w:t xml:space="preserve"> as it relates to hours worked beyond forty (40) hours per week will be considered</w:t>
      </w:r>
      <w:r>
        <w:rPr>
          <w:rFonts w:asciiTheme="minorHAnsi" w:hAnsiTheme="minorHAnsi" w:cs="Arial"/>
          <w:sz w:val="22"/>
          <w:szCs w:val="22"/>
        </w:rPr>
        <w:t xml:space="preserve"> unless</w:t>
      </w:r>
      <w:r w:rsidRPr="00E029E0">
        <w:rPr>
          <w:rFonts w:asciiTheme="minorHAnsi" w:hAnsiTheme="minorHAnsi" w:cs="Arial"/>
          <w:sz w:val="22"/>
          <w:szCs w:val="22"/>
        </w:rPr>
        <w:t xml:space="preserve"> </w:t>
      </w:r>
      <w:r>
        <w:rPr>
          <w:rFonts w:asciiTheme="minorHAnsi" w:hAnsiTheme="minorHAnsi" w:cs="Arial"/>
          <w:sz w:val="22"/>
          <w:szCs w:val="22"/>
        </w:rPr>
        <w:t>approved by the PM</w:t>
      </w:r>
      <w:r w:rsidRPr="00E029E0">
        <w:rPr>
          <w:rFonts w:asciiTheme="minorHAnsi" w:hAnsiTheme="minorHAnsi" w:cs="Arial"/>
          <w:sz w:val="22"/>
          <w:szCs w:val="22"/>
        </w:rPr>
        <w:t>.</w:t>
      </w:r>
      <w:r>
        <w:rPr>
          <w:rFonts w:asciiTheme="minorHAnsi" w:hAnsiTheme="minorHAnsi" w:cs="Arial"/>
          <w:sz w:val="22"/>
          <w:szCs w:val="22"/>
        </w:rPr>
        <w:t xml:space="preserve">  In accordance with 48 CFR 22.103-4, the Project Manager must approve the Consultant’s request for overtime in advance and in writing.  Written approval </w:t>
      </w:r>
      <w:r>
        <w:rPr>
          <w:rFonts w:asciiTheme="minorHAnsi" w:hAnsiTheme="minorHAnsi" w:cs="Arial"/>
          <w:sz w:val="22"/>
          <w:szCs w:val="22"/>
        </w:rPr>
        <w:lastRenderedPageBreak/>
        <w:t xml:space="preserve">may be by e-mail, with a copy provided to the Audits Office. Copies of timesheets will be required to verify overtime pay.  </w:t>
      </w:r>
    </w:p>
    <w:p w14:paraId="63DFC335" w14:textId="77777777" w:rsidR="000930CA" w:rsidRDefault="000930CA" w:rsidP="000930CA">
      <w:pPr>
        <w:pStyle w:val="BodyText"/>
        <w:tabs>
          <w:tab w:val="clear" w:pos="-720"/>
          <w:tab w:val="left" w:pos="1080"/>
        </w:tabs>
        <w:spacing w:after="200" w:line="276" w:lineRule="auto"/>
        <w:ind w:left="720"/>
        <w:jc w:val="left"/>
        <w:rPr>
          <w:rFonts w:asciiTheme="minorHAnsi" w:hAnsiTheme="minorHAnsi" w:cs="Arial"/>
          <w:sz w:val="22"/>
          <w:szCs w:val="22"/>
        </w:rPr>
      </w:pPr>
      <w:r>
        <w:rPr>
          <w:rFonts w:asciiTheme="minorHAnsi" w:hAnsiTheme="minorHAnsi" w:cs="Arial"/>
          <w:sz w:val="22"/>
          <w:szCs w:val="22"/>
        </w:rPr>
        <w:t>Approval may only be granted by the Project Manager if overtime is necessary to:</w:t>
      </w:r>
    </w:p>
    <w:p w14:paraId="1A50ACF6" w14:textId="77777777" w:rsidR="000930CA" w:rsidRPr="008464D2" w:rsidRDefault="000930CA" w:rsidP="000930CA">
      <w:pPr>
        <w:pStyle w:val="BodyText"/>
        <w:tabs>
          <w:tab w:val="left" w:pos="1080"/>
        </w:tabs>
        <w:spacing w:line="276" w:lineRule="auto"/>
        <w:ind w:left="1080"/>
        <w:jc w:val="left"/>
        <w:rPr>
          <w:rFonts w:asciiTheme="minorHAnsi" w:hAnsiTheme="minorHAnsi" w:cs="Arial"/>
          <w:sz w:val="22"/>
          <w:szCs w:val="22"/>
        </w:rPr>
      </w:pPr>
      <w:r w:rsidRPr="008464D2">
        <w:rPr>
          <w:rFonts w:asciiTheme="minorHAnsi" w:hAnsiTheme="minorHAnsi" w:cs="Arial"/>
          <w:sz w:val="22"/>
          <w:szCs w:val="22"/>
        </w:rPr>
        <w:t>(1) Meet essential delivery or performance</w:t>
      </w:r>
      <w:r>
        <w:rPr>
          <w:rFonts w:asciiTheme="minorHAnsi" w:hAnsiTheme="minorHAnsi" w:cs="Arial"/>
          <w:sz w:val="22"/>
          <w:szCs w:val="22"/>
        </w:rPr>
        <w:t xml:space="preserve"> </w:t>
      </w:r>
      <w:r w:rsidRPr="008464D2">
        <w:rPr>
          <w:rFonts w:asciiTheme="minorHAnsi" w:hAnsiTheme="minorHAnsi" w:cs="Arial"/>
          <w:sz w:val="22"/>
          <w:szCs w:val="22"/>
        </w:rPr>
        <w:t>schedules;</w:t>
      </w:r>
    </w:p>
    <w:p w14:paraId="240811A4" w14:textId="77777777" w:rsidR="000930CA" w:rsidRPr="008464D2" w:rsidRDefault="000930CA" w:rsidP="000930CA">
      <w:pPr>
        <w:pStyle w:val="BodyText"/>
        <w:tabs>
          <w:tab w:val="left" w:pos="1080"/>
        </w:tabs>
        <w:spacing w:line="276" w:lineRule="auto"/>
        <w:ind w:left="1080"/>
        <w:jc w:val="left"/>
        <w:rPr>
          <w:rFonts w:asciiTheme="minorHAnsi" w:hAnsiTheme="minorHAnsi" w:cs="Arial"/>
          <w:sz w:val="22"/>
          <w:szCs w:val="22"/>
        </w:rPr>
      </w:pPr>
      <w:r w:rsidRPr="008464D2">
        <w:rPr>
          <w:rFonts w:asciiTheme="minorHAnsi" w:hAnsiTheme="minorHAnsi" w:cs="Arial"/>
          <w:sz w:val="22"/>
          <w:szCs w:val="22"/>
        </w:rPr>
        <w:t>(2) Make up for delays beyond the</w:t>
      </w:r>
      <w:r>
        <w:rPr>
          <w:rFonts w:asciiTheme="minorHAnsi" w:hAnsiTheme="minorHAnsi" w:cs="Arial"/>
          <w:sz w:val="22"/>
          <w:szCs w:val="22"/>
        </w:rPr>
        <w:t xml:space="preserve"> </w:t>
      </w:r>
      <w:r w:rsidRPr="008464D2">
        <w:rPr>
          <w:rFonts w:asciiTheme="minorHAnsi" w:hAnsiTheme="minorHAnsi" w:cs="Arial"/>
          <w:sz w:val="22"/>
          <w:szCs w:val="22"/>
        </w:rPr>
        <w:t>control and without the fault or negligence</w:t>
      </w:r>
      <w:r>
        <w:rPr>
          <w:rFonts w:asciiTheme="minorHAnsi" w:hAnsiTheme="minorHAnsi" w:cs="Arial"/>
          <w:sz w:val="22"/>
          <w:szCs w:val="22"/>
        </w:rPr>
        <w:t xml:space="preserve"> </w:t>
      </w:r>
      <w:r w:rsidRPr="008464D2">
        <w:rPr>
          <w:rFonts w:asciiTheme="minorHAnsi" w:hAnsiTheme="minorHAnsi" w:cs="Arial"/>
          <w:sz w:val="22"/>
          <w:szCs w:val="22"/>
        </w:rPr>
        <w:t>of the contractor; or</w:t>
      </w:r>
    </w:p>
    <w:p w14:paraId="649983DD" w14:textId="77777777" w:rsidR="000930CA" w:rsidRDefault="000930CA" w:rsidP="000930CA">
      <w:pPr>
        <w:pStyle w:val="BodyText"/>
        <w:tabs>
          <w:tab w:val="left" w:pos="1080"/>
        </w:tabs>
        <w:spacing w:line="276" w:lineRule="auto"/>
        <w:ind w:left="1080"/>
        <w:jc w:val="left"/>
        <w:rPr>
          <w:rFonts w:asciiTheme="minorHAnsi" w:hAnsiTheme="minorHAnsi" w:cs="Arial"/>
          <w:sz w:val="22"/>
          <w:szCs w:val="22"/>
        </w:rPr>
      </w:pPr>
      <w:r w:rsidRPr="008464D2">
        <w:rPr>
          <w:rFonts w:asciiTheme="minorHAnsi" w:hAnsiTheme="minorHAnsi" w:cs="Arial"/>
          <w:sz w:val="22"/>
          <w:szCs w:val="22"/>
        </w:rPr>
        <w:t>(3) Eliminate foreseeable extended</w:t>
      </w:r>
      <w:r>
        <w:rPr>
          <w:rFonts w:asciiTheme="minorHAnsi" w:hAnsiTheme="minorHAnsi" w:cs="Arial"/>
          <w:sz w:val="22"/>
          <w:szCs w:val="22"/>
        </w:rPr>
        <w:t xml:space="preserve"> </w:t>
      </w:r>
      <w:r w:rsidRPr="008464D2">
        <w:rPr>
          <w:rFonts w:asciiTheme="minorHAnsi" w:hAnsiTheme="minorHAnsi" w:cs="Arial"/>
          <w:sz w:val="22"/>
          <w:szCs w:val="22"/>
        </w:rPr>
        <w:t>production bottlenecks that cannot be</w:t>
      </w:r>
      <w:r>
        <w:rPr>
          <w:rFonts w:asciiTheme="minorHAnsi" w:hAnsiTheme="minorHAnsi" w:cs="Arial"/>
          <w:sz w:val="22"/>
          <w:szCs w:val="22"/>
        </w:rPr>
        <w:t xml:space="preserve"> </w:t>
      </w:r>
      <w:r w:rsidRPr="008464D2">
        <w:rPr>
          <w:rFonts w:asciiTheme="minorHAnsi" w:hAnsiTheme="minorHAnsi" w:cs="Arial"/>
          <w:sz w:val="22"/>
          <w:szCs w:val="22"/>
        </w:rPr>
        <w:t>eliminated in any other way.</w:t>
      </w:r>
    </w:p>
    <w:p w14:paraId="70649378" w14:textId="77777777" w:rsidR="000930CA" w:rsidRDefault="000930CA" w:rsidP="000930CA">
      <w:pPr>
        <w:pStyle w:val="BodyText"/>
        <w:tabs>
          <w:tab w:val="left" w:pos="1080"/>
        </w:tabs>
        <w:spacing w:line="276" w:lineRule="auto"/>
        <w:ind w:left="720"/>
        <w:jc w:val="left"/>
        <w:rPr>
          <w:rFonts w:asciiTheme="minorHAnsi" w:hAnsiTheme="minorHAnsi" w:cs="Arial"/>
          <w:sz w:val="22"/>
          <w:szCs w:val="22"/>
        </w:rPr>
      </w:pPr>
    </w:p>
    <w:p w14:paraId="5D7A48CB" w14:textId="77777777" w:rsidR="000930CA" w:rsidRDefault="000930CA" w:rsidP="000930CA">
      <w:pPr>
        <w:spacing w:after="0" w:line="240" w:lineRule="auto"/>
        <w:rPr>
          <w:rFonts w:cs="Arial"/>
        </w:rPr>
      </w:pPr>
      <w:r>
        <w:rPr>
          <w:rFonts w:cs="Arial"/>
        </w:rPr>
        <w:t>Overtime may be included in the work order cost breakdown if necessitated by any of the reasons listed above.  Examples of when overtime may be allowed include, but are not limited to, an emergency project or if overtime will be necessary to accomplish construction administration or testing.</w:t>
      </w:r>
    </w:p>
    <w:p w14:paraId="37478AA8" w14:textId="77777777" w:rsidR="00537EA3" w:rsidRDefault="00537EA3" w:rsidP="000930CA">
      <w:pPr>
        <w:spacing w:after="0" w:line="240" w:lineRule="auto"/>
        <w:rPr>
          <w:rFonts w:cs="Arial"/>
        </w:rPr>
      </w:pPr>
    </w:p>
    <w:p w14:paraId="4E9F32FC" w14:textId="77777777" w:rsidR="00537EA3" w:rsidRDefault="00537EA3" w:rsidP="000930CA">
      <w:pPr>
        <w:spacing w:after="0" w:line="240" w:lineRule="auto"/>
        <w:rPr>
          <w:rFonts w:cs="Arial"/>
        </w:rPr>
      </w:pPr>
      <w:r w:rsidRPr="00537EA3">
        <w:rPr>
          <w:rFonts w:cs="Arial"/>
          <w:b/>
        </w:rPr>
        <w:t>Incentives for Public Meetings per Mark Hoines of FHWA</w:t>
      </w:r>
      <w:r>
        <w:rPr>
          <w:rFonts w:cs="Arial"/>
        </w:rPr>
        <w:t>:</w:t>
      </w:r>
    </w:p>
    <w:p w14:paraId="4C73D339" w14:textId="77777777" w:rsidR="00537EA3" w:rsidRPr="00537EA3" w:rsidRDefault="00537EA3" w:rsidP="00537EA3">
      <w:pPr>
        <w:rPr>
          <w:rFonts w:cstheme="minorHAnsi"/>
        </w:rPr>
      </w:pPr>
      <w:r w:rsidRPr="00537EA3">
        <w:rPr>
          <w:rFonts w:cstheme="minorHAnsi"/>
        </w:rPr>
        <w:t xml:space="preserve">You are allowed to pay incentives for public involvement.  FHWA has determined that in the planning process providing incentives for public involvement is allowable and Federal funds can be used.  On multiple occasions this question has been asked to our Headquarters Planning Office and the answer has been as long as we determine it is a necessary cost for transportation planning it is allowable for PL or Statewide Planning funds.  </w:t>
      </w:r>
    </w:p>
    <w:p w14:paraId="127B1E35" w14:textId="77777777" w:rsidR="00005105" w:rsidRPr="00A46F17" w:rsidRDefault="00005105" w:rsidP="00A823BF">
      <w:pPr>
        <w:spacing w:after="0" w:line="240" w:lineRule="auto"/>
        <w:contextualSpacing/>
        <w:rPr>
          <w:i/>
        </w:rPr>
      </w:pPr>
      <w:r w:rsidRPr="00A46F17">
        <w:rPr>
          <w:i/>
        </w:rPr>
        <w:t>Note: If a change is made to the invoice by an auditor because of unallowable or ineligible costs, the originating DOT office will be notified. The office is responsible for notifying the consultant of the change.</w:t>
      </w:r>
    </w:p>
    <w:p w14:paraId="18428B55" w14:textId="77777777" w:rsidR="00DF6549" w:rsidRPr="00A46F17" w:rsidRDefault="00DF6549" w:rsidP="00A823BF">
      <w:pPr>
        <w:pStyle w:val="ListParagraph"/>
        <w:spacing w:after="0" w:line="240" w:lineRule="auto"/>
        <w:ind w:left="1080"/>
      </w:pPr>
    </w:p>
    <w:p w14:paraId="4BE7F892" w14:textId="77777777" w:rsidR="006044F2" w:rsidRPr="00A46F17" w:rsidRDefault="0062472D" w:rsidP="00A823BF">
      <w:pPr>
        <w:spacing w:after="0" w:line="240" w:lineRule="auto"/>
        <w:contextualSpacing/>
      </w:pPr>
      <w:r w:rsidRPr="00A46F17">
        <w:t xml:space="preserve">The project manager will notify SDDOT Audits Office </w:t>
      </w:r>
      <w:r w:rsidR="006044F2" w:rsidRPr="00A46F17">
        <w:t>when deliverables are not provided by the dates agreed to by the consultant.</w:t>
      </w:r>
      <w:r w:rsidR="009B6FB1" w:rsidRPr="00A46F17">
        <w:t xml:space="preserve"> Project managers will take the necessary action to rectify the situation.</w:t>
      </w:r>
    </w:p>
    <w:p w14:paraId="1D37D7D3" w14:textId="77777777" w:rsidR="00436ADA" w:rsidRPr="00A46F17" w:rsidRDefault="00436ADA" w:rsidP="00A823BF">
      <w:pPr>
        <w:spacing w:after="0" w:line="240" w:lineRule="auto"/>
        <w:contextualSpacing/>
      </w:pPr>
    </w:p>
    <w:p w14:paraId="025F8AE1" w14:textId="77777777" w:rsidR="00436ADA" w:rsidRDefault="00436ADA" w:rsidP="00A823BF">
      <w:pPr>
        <w:contextualSpacing/>
        <w:rPr>
          <w:b/>
          <w:sz w:val="28"/>
          <w:szCs w:val="28"/>
        </w:rPr>
      </w:pPr>
      <w:r w:rsidRPr="00A46F17">
        <w:rPr>
          <w:b/>
          <w:sz w:val="28"/>
          <w:szCs w:val="28"/>
        </w:rPr>
        <w:t>VI.</w:t>
      </w:r>
      <w:r w:rsidRPr="00A46F17">
        <w:rPr>
          <w:sz w:val="28"/>
          <w:szCs w:val="28"/>
        </w:rPr>
        <w:t xml:space="preserve"> </w:t>
      </w:r>
      <w:r w:rsidRPr="00A46F17">
        <w:rPr>
          <w:b/>
          <w:sz w:val="28"/>
          <w:szCs w:val="28"/>
        </w:rPr>
        <w:t>True-Up Process</w:t>
      </w:r>
    </w:p>
    <w:p w14:paraId="265F8952" w14:textId="77777777" w:rsidR="006900CA" w:rsidRPr="004657B2" w:rsidRDefault="006900CA" w:rsidP="00A823BF">
      <w:pPr>
        <w:contextualSpacing/>
        <w:rPr>
          <w:b/>
        </w:rPr>
      </w:pPr>
    </w:p>
    <w:p w14:paraId="3A23CF61" w14:textId="12A8A705" w:rsidR="00FA05AE" w:rsidRDefault="00EC5460" w:rsidP="00893AA6">
      <w:pPr>
        <w:contextualSpacing/>
        <w:rPr>
          <w:rFonts w:cs="Arial"/>
          <w:b/>
          <w:bCs/>
          <w:sz w:val="23"/>
          <w:szCs w:val="23"/>
        </w:rPr>
      </w:pPr>
      <w:r w:rsidRPr="00A46F17">
        <w:rPr>
          <w:rFonts w:cs="Arial"/>
          <w:sz w:val="23"/>
          <w:szCs w:val="23"/>
        </w:rPr>
        <w:t xml:space="preserve">The </w:t>
      </w:r>
      <w:r w:rsidR="00436ADA" w:rsidRPr="00A46F17">
        <w:rPr>
          <w:rFonts w:cs="Arial"/>
          <w:sz w:val="23"/>
          <w:szCs w:val="23"/>
        </w:rPr>
        <w:t>South Dako</w:t>
      </w:r>
      <w:r w:rsidRPr="00A46F17">
        <w:rPr>
          <w:rFonts w:cs="Arial"/>
          <w:sz w:val="23"/>
          <w:szCs w:val="23"/>
        </w:rPr>
        <w:t xml:space="preserve">ta Department of Transportation </w:t>
      </w:r>
      <w:r w:rsidR="00893AA6">
        <w:rPr>
          <w:rFonts w:cs="Arial"/>
          <w:sz w:val="23"/>
          <w:szCs w:val="23"/>
        </w:rPr>
        <w:t xml:space="preserve">requires any Consultant </w:t>
      </w:r>
      <w:r w:rsidR="00914FE7">
        <w:rPr>
          <w:rFonts w:cs="Arial"/>
          <w:sz w:val="23"/>
          <w:szCs w:val="23"/>
        </w:rPr>
        <w:t xml:space="preserve">on the Consultant Retainer </w:t>
      </w:r>
      <w:r w:rsidR="00893AA6">
        <w:rPr>
          <w:rFonts w:cs="Arial"/>
          <w:sz w:val="23"/>
          <w:szCs w:val="23"/>
        </w:rPr>
        <w:t xml:space="preserve">to submit an updated provisional percentage </w:t>
      </w:r>
      <w:r w:rsidR="00914FE7">
        <w:rPr>
          <w:rFonts w:cs="Arial"/>
          <w:sz w:val="23"/>
          <w:szCs w:val="23"/>
        </w:rPr>
        <w:t xml:space="preserve">(indirect cost/overhead) </w:t>
      </w:r>
      <w:r w:rsidR="00893AA6">
        <w:rPr>
          <w:rFonts w:cs="Arial"/>
          <w:sz w:val="23"/>
          <w:szCs w:val="23"/>
        </w:rPr>
        <w:t>rate within four months after the close of each of the Consultant’s fiscal year</w:t>
      </w:r>
      <w:r w:rsidR="004B3142">
        <w:rPr>
          <w:rFonts w:cs="Arial"/>
          <w:sz w:val="23"/>
          <w:szCs w:val="23"/>
        </w:rPr>
        <w:t>s</w:t>
      </w:r>
      <w:r w:rsidR="00893AA6">
        <w:rPr>
          <w:rFonts w:cs="Arial"/>
          <w:sz w:val="23"/>
          <w:szCs w:val="23"/>
        </w:rPr>
        <w:t xml:space="preserve"> in order to more accurately reflect the cost of work during subsequent years. </w:t>
      </w:r>
      <w:r w:rsidR="00893AA6" w:rsidRPr="00893AA6">
        <w:rPr>
          <w:rFonts w:cs="Arial"/>
          <w:b/>
          <w:bCs/>
          <w:sz w:val="23"/>
          <w:szCs w:val="23"/>
        </w:rPr>
        <w:t xml:space="preserve">The Consultant will also submit a final indirect cost rate invoice at the end of EACH fiscal year </w:t>
      </w:r>
      <w:r w:rsidR="00893AA6">
        <w:rPr>
          <w:rFonts w:cs="Arial"/>
          <w:b/>
          <w:bCs/>
          <w:sz w:val="23"/>
          <w:szCs w:val="23"/>
        </w:rPr>
        <w:t>to True-Up the invoices submitted within that fiscal year</w:t>
      </w:r>
      <w:r w:rsidR="00893AA6" w:rsidRPr="00893AA6">
        <w:rPr>
          <w:rFonts w:cs="Arial"/>
          <w:b/>
          <w:bCs/>
          <w:sz w:val="23"/>
          <w:szCs w:val="23"/>
        </w:rPr>
        <w:t>.</w:t>
      </w:r>
    </w:p>
    <w:p w14:paraId="6B1C336B" w14:textId="33ED9073" w:rsidR="00F118D7" w:rsidRPr="00CE6882" w:rsidRDefault="00F118D7" w:rsidP="00893AA6">
      <w:pPr>
        <w:contextualSpacing/>
        <w:rPr>
          <w:rFonts w:cs="Arial"/>
          <w:sz w:val="23"/>
          <w:szCs w:val="23"/>
        </w:rPr>
      </w:pPr>
    </w:p>
    <w:p w14:paraId="3BCB59EE" w14:textId="2EADDDC1" w:rsidR="00F118D7" w:rsidRPr="00CE6882" w:rsidRDefault="00F118D7" w:rsidP="00893AA6">
      <w:pPr>
        <w:contextualSpacing/>
        <w:rPr>
          <w:rFonts w:cs="Arial"/>
          <w:sz w:val="23"/>
          <w:szCs w:val="23"/>
        </w:rPr>
      </w:pPr>
      <w:r w:rsidRPr="00CE6882">
        <w:rPr>
          <w:rFonts w:cs="Arial"/>
          <w:sz w:val="23"/>
          <w:szCs w:val="23"/>
        </w:rPr>
        <w:t>This provision is in the Consultant Retainer contract signed by any consultants on the retainer under section B. PAYMENT.</w:t>
      </w:r>
    </w:p>
    <w:p w14:paraId="0AD79CC0" w14:textId="77777777" w:rsidR="00450540" w:rsidRPr="004657B2" w:rsidRDefault="00450540" w:rsidP="00A823BF">
      <w:pPr>
        <w:contextualSpacing/>
        <w:rPr>
          <w:rFonts w:cs="Arial"/>
          <w:i/>
          <w:sz w:val="23"/>
          <w:szCs w:val="23"/>
        </w:rPr>
      </w:pPr>
    </w:p>
    <w:p w14:paraId="0CA5236E" w14:textId="77777777" w:rsidR="00623C14" w:rsidRPr="00623C14" w:rsidRDefault="00623C14" w:rsidP="00A823BF">
      <w:pPr>
        <w:spacing w:after="0" w:line="240" w:lineRule="auto"/>
        <w:contextualSpacing/>
        <w:rPr>
          <w:b/>
          <w:sz w:val="28"/>
          <w:szCs w:val="28"/>
        </w:rPr>
      </w:pPr>
      <w:r>
        <w:rPr>
          <w:b/>
          <w:sz w:val="28"/>
          <w:szCs w:val="28"/>
        </w:rPr>
        <w:t>VII</w:t>
      </w:r>
      <w:r w:rsidRPr="00623C14">
        <w:rPr>
          <w:b/>
          <w:sz w:val="28"/>
          <w:szCs w:val="28"/>
        </w:rPr>
        <w:t>. Closing Processes for Contracts and Work Orders</w:t>
      </w:r>
    </w:p>
    <w:p w14:paraId="364CF6D9" w14:textId="77777777" w:rsidR="00623C14" w:rsidRDefault="00623C14" w:rsidP="00A823BF">
      <w:pPr>
        <w:spacing w:after="0" w:line="240" w:lineRule="auto"/>
        <w:contextualSpacing/>
        <w:rPr>
          <w:b/>
        </w:rPr>
      </w:pPr>
    </w:p>
    <w:p w14:paraId="41A6AC0A" w14:textId="77777777" w:rsidR="00251828" w:rsidRPr="00C269B7" w:rsidRDefault="00251828" w:rsidP="00A823BF">
      <w:pPr>
        <w:contextualSpacing/>
        <w:rPr>
          <w:rFonts w:cs="Microsoft Sans Serif"/>
          <w:b/>
        </w:rPr>
      </w:pPr>
      <w:r w:rsidRPr="00C269B7">
        <w:rPr>
          <w:rFonts w:cs="Microsoft Sans Serif"/>
          <w:b/>
        </w:rPr>
        <w:t>Contracts Close out Process</w:t>
      </w:r>
    </w:p>
    <w:p w14:paraId="3222C0DE" w14:textId="1D836302" w:rsidR="00251828" w:rsidRDefault="00251828" w:rsidP="00A823BF">
      <w:pPr>
        <w:contextualSpacing/>
      </w:pPr>
      <w:r>
        <w:lastRenderedPageBreak/>
        <w:t xml:space="preserve">When Audits receives a final payment on a contract </w:t>
      </w:r>
      <w:r w:rsidR="00914FE7">
        <w:t xml:space="preserve">including the Agreement/Work Order Closeout Form 996 </w:t>
      </w:r>
      <w:r>
        <w:t>(indicated by the originating office), the contract and voucher amo</w:t>
      </w:r>
      <w:r w:rsidR="00C269B7">
        <w:t>unts will be verified to ensure all are correct. Once verified, the contract will be closed by Audits</w:t>
      </w:r>
      <w:r w:rsidR="00CE6882">
        <w:t xml:space="preserve"> and forwarded to Finance</w:t>
      </w:r>
      <w:r w:rsidR="00C269B7">
        <w:t>.</w:t>
      </w:r>
    </w:p>
    <w:p w14:paraId="7A4DD831" w14:textId="77777777" w:rsidR="00F94512" w:rsidRDefault="00F94512" w:rsidP="00A823BF">
      <w:pPr>
        <w:contextualSpacing/>
      </w:pPr>
    </w:p>
    <w:p w14:paraId="176BBDF3" w14:textId="77777777" w:rsidR="00623C14" w:rsidRPr="00C269B7" w:rsidRDefault="00623C14" w:rsidP="00A823BF">
      <w:pPr>
        <w:contextualSpacing/>
        <w:rPr>
          <w:b/>
        </w:rPr>
      </w:pPr>
      <w:r w:rsidRPr="00C269B7">
        <w:rPr>
          <w:b/>
        </w:rPr>
        <w:t xml:space="preserve">Audits Work Order Close-out </w:t>
      </w:r>
      <w:r w:rsidR="00251828" w:rsidRPr="00C269B7">
        <w:rPr>
          <w:b/>
        </w:rPr>
        <w:t>and Work Order Contracts Close-out Process</w:t>
      </w:r>
    </w:p>
    <w:p w14:paraId="06C1EA73" w14:textId="77777777" w:rsidR="00B70652" w:rsidRDefault="00623C14" w:rsidP="00A823BF">
      <w:pPr>
        <w:contextualSpacing/>
      </w:pPr>
      <w:r>
        <w:t xml:space="preserve">When Audits receives the last voucher marked as “final” with the </w:t>
      </w:r>
      <w:r w:rsidR="00914FE7">
        <w:t>Agreement/</w:t>
      </w:r>
      <w:r>
        <w:t xml:space="preserve">Work Order Close Out </w:t>
      </w:r>
      <w:r w:rsidR="00914FE7">
        <w:t>F</w:t>
      </w:r>
      <w:r>
        <w:t>orm</w:t>
      </w:r>
      <w:r w:rsidR="00914FE7">
        <w:t xml:space="preserve"> 996</w:t>
      </w:r>
      <w:r>
        <w:t>, all previous payments will be verified to ensure the final payment is correct</w:t>
      </w:r>
      <w:r w:rsidR="00251828">
        <w:t xml:space="preserve"> and contains any remaining fixed fees</w:t>
      </w:r>
      <w:r>
        <w:t>.</w:t>
      </w:r>
      <w:r w:rsidR="003E5165">
        <w:t xml:space="preserve"> </w:t>
      </w:r>
      <w:r w:rsidR="00B70652">
        <w:t>Once the final payment is entered, the work order will be closed by Audits.</w:t>
      </w:r>
      <w:r w:rsidR="00B70652">
        <w:t xml:space="preserve"> </w:t>
      </w:r>
    </w:p>
    <w:p w14:paraId="728A7245" w14:textId="77777777" w:rsidR="00B70652" w:rsidRDefault="00B70652" w:rsidP="00A823BF">
      <w:pPr>
        <w:contextualSpacing/>
      </w:pPr>
    </w:p>
    <w:p w14:paraId="1B62C75B" w14:textId="1653EB9F" w:rsidR="00623C14" w:rsidRPr="00B70652" w:rsidRDefault="003E5165" w:rsidP="00A823BF">
      <w:pPr>
        <w:contextualSpacing/>
        <w:rPr>
          <w:b/>
          <w:bCs/>
          <w:i/>
          <w:iCs/>
        </w:rPr>
      </w:pPr>
      <w:r w:rsidRPr="00B70652">
        <w:rPr>
          <w:b/>
          <w:bCs/>
          <w:i/>
          <w:iCs/>
        </w:rPr>
        <w:t xml:space="preserve">Note: Remaining fixed fees must be requested by the Consultant with an </w:t>
      </w:r>
      <w:r w:rsidR="00002A73" w:rsidRPr="00B70652">
        <w:rPr>
          <w:b/>
          <w:bCs/>
          <w:i/>
          <w:iCs/>
        </w:rPr>
        <w:t>invoice and</w:t>
      </w:r>
      <w:r w:rsidR="00B70652">
        <w:rPr>
          <w:b/>
          <w:bCs/>
          <w:i/>
          <w:iCs/>
        </w:rPr>
        <w:t xml:space="preserve"> will be paid </w:t>
      </w:r>
      <w:r w:rsidR="00B70652" w:rsidRPr="00B70652">
        <w:rPr>
          <w:b/>
          <w:bCs/>
          <w:i/>
          <w:iCs/>
        </w:rPr>
        <w:t xml:space="preserve">only if there is remaining funds to cover remaining fixed fees. If maximum limiting amount has been reached, no funds </w:t>
      </w:r>
      <w:r w:rsidR="00B70652">
        <w:rPr>
          <w:b/>
          <w:bCs/>
          <w:i/>
          <w:iCs/>
        </w:rPr>
        <w:t>will</w:t>
      </w:r>
      <w:r w:rsidR="00B70652" w:rsidRPr="00B70652">
        <w:rPr>
          <w:b/>
          <w:bCs/>
          <w:i/>
          <w:iCs/>
        </w:rPr>
        <w:t xml:space="preserve"> be paid beyond that. S</w:t>
      </w:r>
      <w:r w:rsidRPr="00B70652">
        <w:rPr>
          <w:b/>
          <w:bCs/>
          <w:i/>
          <w:iCs/>
        </w:rPr>
        <w:t>ee FHWA’s email in the Audits Procedures File</w:t>
      </w:r>
      <w:r w:rsidR="00B70652" w:rsidRPr="00B70652">
        <w:rPr>
          <w:b/>
          <w:bCs/>
          <w:i/>
          <w:iCs/>
        </w:rPr>
        <w:t xml:space="preserve"> for request of invoice</w:t>
      </w:r>
      <w:r w:rsidRPr="00B70652">
        <w:rPr>
          <w:b/>
          <w:bCs/>
          <w:i/>
          <w:iCs/>
        </w:rPr>
        <w:t>.</w:t>
      </w:r>
    </w:p>
    <w:p w14:paraId="3786AAC0" w14:textId="77777777" w:rsidR="00F94512" w:rsidRDefault="00F94512" w:rsidP="00A823BF">
      <w:pPr>
        <w:contextualSpacing/>
      </w:pPr>
    </w:p>
    <w:p w14:paraId="44516689" w14:textId="2C03B7CC" w:rsidR="00623C14" w:rsidRDefault="00623C14" w:rsidP="00A823BF">
      <w:pPr>
        <w:contextualSpacing/>
      </w:pPr>
      <w:r>
        <w:t xml:space="preserve">If the final payment comes to Audits without the </w:t>
      </w:r>
      <w:r w:rsidR="00914FE7">
        <w:t>Agreement/</w:t>
      </w:r>
      <w:r>
        <w:t xml:space="preserve">Work Order Close Out </w:t>
      </w:r>
      <w:r w:rsidR="00914FE7">
        <w:t>F</w:t>
      </w:r>
      <w:r>
        <w:t xml:space="preserve">orm because of instances such as construction miscellaneous, all payments will be verified but the work order will not be closed until the </w:t>
      </w:r>
      <w:r w:rsidR="00914FE7">
        <w:t>Agreement/</w:t>
      </w:r>
      <w:r>
        <w:t xml:space="preserve">Work Order Close Out </w:t>
      </w:r>
      <w:r w:rsidR="00914FE7">
        <w:t>F</w:t>
      </w:r>
      <w:r>
        <w:t>orm</w:t>
      </w:r>
      <w:r w:rsidR="00914FE7">
        <w:t xml:space="preserve"> 996</w:t>
      </w:r>
      <w:r>
        <w:t xml:space="preserve"> is received from the originating office.</w:t>
      </w:r>
    </w:p>
    <w:p w14:paraId="25AED7F7" w14:textId="3F9FE3D1" w:rsidR="001E1112" w:rsidRDefault="001E1112" w:rsidP="00A823BF">
      <w:pPr>
        <w:contextualSpacing/>
      </w:pPr>
    </w:p>
    <w:p w14:paraId="0BC32448" w14:textId="389953C4" w:rsidR="001E1112" w:rsidRPr="001E1112" w:rsidRDefault="001E1112" w:rsidP="00A823BF">
      <w:pPr>
        <w:contextualSpacing/>
        <w:rPr>
          <w:b/>
          <w:bCs/>
          <w:color w:val="943634" w:themeColor="accent2" w:themeShade="BF"/>
        </w:rPr>
      </w:pPr>
      <w:r w:rsidRPr="001E1112">
        <w:rPr>
          <w:b/>
          <w:bCs/>
          <w:color w:val="943634" w:themeColor="accent2" w:themeShade="BF"/>
        </w:rPr>
        <w:t>From the Consultant Services Manual per LGA Leadership November 2021:</w:t>
      </w:r>
    </w:p>
    <w:p w14:paraId="3C646C5A" w14:textId="77777777" w:rsidR="001E1112" w:rsidRPr="001E1112" w:rsidRDefault="001E1112" w:rsidP="00A823BF">
      <w:pPr>
        <w:contextualSpacing/>
        <w:rPr>
          <w:color w:val="943634" w:themeColor="accent2" w:themeShade="BF"/>
        </w:rPr>
      </w:pPr>
      <w:r w:rsidRPr="001E1112">
        <w:rPr>
          <w:b/>
          <w:bCs/>
          <w:color w:val="943634" w:themeColor="accent2" w:themeShade="BF"/>
        </w:rPr>
        <w:t>CONSTRUCTION MISCELLANEOUS</w:t>
      </w:r>
      <w:r w:rsidRPr="001E1112">
        <w:rPr>
          <w:color w:val="943634" w:themeColor="accent2" w:themeShade="BF"/>
        </w:rPr>
        <w:t xml:space="preserve"> Some LPA design work orders may include the item “Construction Miscellaneous”. This is a safety net item for unforeseen issues during construction that the design consultant is called on to assist with. These issues may occur as a result of construction problems, field conditions, and other unforeseen issues during construction. Services requested will be on an as needed basis and the consultant is required to respond in a timely manner based on the urgency of the request. This is not to be used for errors and omissions. This does not include revision of plan sheets and redesign. The purpose of Construction Miscellaneous is to provide enough funds to get small issues taken care of or buy time until a work order can be written for large issues. </w:t>
      </w:r>
    </w:p>
    <w:p w14:paraId="7D95B440" w14:textId="77777777" w:rsidR="001E1112" w:rsidRPr="001E1112" w:rsidRDefault="001E1112" w:rsidP="00A823BF">
      <w:pPr>
        <w:contextualSpacing/>
        <w:rPr>
          <w:color w:val="943634" w:themeColor="accent2" w:themeShade="BF"/>
        </w:rPr>
      </w:pPr>
    </w:p>
    <w:p w14:paraId="4C6AA457" w14:textId="77777777" w:rsidR="001E1112" w:rsidRPr="001E1112" w:rsidRDefault="001E1112" w:rsidP="00A823BF">
      <w:pPr>
        <w:contextualSpacing/>
        <w:rPr>
          <w:color w:val="943634" w:themeColor="accent2" w:themeShade="BF"/>
        </w:rPr>
      </w:pPr>
      <w:r w:rsidRPr="001E1112">
        <w:rPr>
          <w:color w:val="943634" w:themeColor="accent2" w:themeShade="BF"/>
        </w:rPr>
        <w:t xml:space="preserve">The standard allowance for Construction Miscellaneous is 20 hours, but no more than $5,000. The Construction Miscellaneous amount is not included on the DOT 917 form but is included in the consultant’s design work order cost breakdown. If no design issues arise, the funds for this scope item, and corresponding fixed fee, will not be paid to the consultant. If the design consultant’s services are required, communication between the Area office personnel, DOT Bridge Construction Engineer, the contractor and/or design consultant will more than likely occur. Documentation (could be an email chain) is needed and should include: the specific request of what the consultant is being asked to do (could be an explanation of what happened in the field to cause issues), the date of request, and who is requesting the additional work (i.e., DOT personnel). It will be the responsibility of the consultant to supply the noted documentation to the LGA office along with the design work order billing information to receive reimbursement. </w:t>
      </w:r>
    </w:p>
    <w:p w14:paraId="64FCFFF1" w14:textId="77777777" w:rsidR="001E1112" w:rsidRPr="001E1112" w:rsidRDefault="001E1112" w:rsidP="00A823BF">
      <w:pPr>
        <w:contextualSpacing/>
        <w:rPr>
          <w:color w:val="943634" w:themeColor="accent2" w:themeShade="BF"/>
        </w:rPr>
      </w:pPr>
    </w:p>
    <w:p w14:paraId="1814565C" w14:textId="77777777" w:rsidR="001E1112" w:rsidRPr="001E1112" w:rsidRDefault="001E1112" w:rsidP="00A823BF">
      <w:pPr>
        <w:contextualSpacing/>
        <w:rPr>
          <w:color w:val="943634" w:themeColor="accent2" w:themeShade="BF"/>
        </w:rPr>
      </w:pPr>
      <w:r w:rsidRPr="001E1112">
        <w:rPr>
          <w:color w:val="943634" w:themeColor="accent2" w:themeShade="BF"/>
        </w:rPr>
        <w:t xml:space="preserve">When these additional design services are required on LPA projects during construction, LGA personnel will add CM to the work order number on the voucher. </w:t>
      </w:r>
    </w:p>
    <w:p w14:paraId="79F640D7" w14:textId="77777777" w:rsidR="001E1112" w:rsidRPr="001E1112" w:rsidRDefault="001E1112" w:rsidP="00A823BF">
      <w:pPr>
        <w:contextualSpacing/>
        <w:rPr>
          <w:color w:val="943634" w:themeColor="accent2" w:themeShade="BF"/>
        </w:rPr>
      </w:pPr>
    </w:p>
    <w:p w14:paraId="73F38E88" w14:textId="2C82F800" w:rsidR="001E1112" w:rsidRDefault="001E1112" w:rsidP="00A823BF">
      <w:pPr>
        <w:contextualSpacing/>
        <w:rPr>
          <w:color w:val="943634" w:themeColor="accent2" w:themeShade="BF"/>
        </w:rPr>
      </w:pPr>
      <w:r w:rsidRPr="001E1112">
        <w:rPr>
          <w:b/>
          <w:bCs/>
          <w:color w:val="943634" w:themeColor="accent2" w:themeShade="BF"/>
        </w:rPr>
        <w:t>Costs for this section shall be shown separately on the cost proposal and shall not be included with the total estimated cost for the rest of the scope of services.</w:t>
      </w:r>
      <w:r w:rsidRPr="001E1112">
        <w:rPr>
          <w:color w:val="943634" w:themeColor="accent2" w:themeShade="BF"/>
        </w:rPr>
        <w:t xml:space="preserve"> The overall completion date of the work order shall be one year after the proposed bid letting date. The overall completion date may be adjusted for projects that are expected to extend through two construction years.</w:t>
      </w:r>
    </w:p>
    <w:p w14:paraId="3770D0AF" w14:textId="7E02A000" w:rsidR="00002A73" w:rsidRDefault="00002A73" w:rsidP="00A823BF">
      <w:pPr>
        <w:contextualSpacing/>
        <w:rPr>
          <w:color w:val="943634" w:themeColor="accent2" w:themeShade="BF"/>
        </w:rPr>
      </w:pPr>
    </w:p>
    <w:p w14:paraId="45C12107" w14:textId="70D5B0A6" w:rsidR="00002A73" w:rsidRPr="00002A73" w:rsidRDefault="00002A73" w:rsidP="00A823BF">
      <w:pPr>
        <w:contextualSpacing/>
      </w:pPr>
      <w:r w:rsidRPr="00002A73">
        <w:t xml:space="preserve">Construction Miscellaneous can be added at a maximum of 20 hours or $5000 per project in the work order. For example, if you have four projects, each project can have </w:t>
      </w:r>
      <w:r>
        <w:t>up to the</w:t>
      </w:r>
      <w:r w:rsidRPr="00002A73">
        <w:t xml:space="preserve"> maximum amount </w:t>
      </w:r>
      <w:r>
        <w:t>allowed</w:t>
      </w:r>
      <w:r w:rsidRPr="00002A73">
        <w:t>.</w:t>
      </w:r>
    </w:p>
    <w:p w14:paraId="01D766FF" w14:textId="77777777" w:rsidR="00F94512" w:rsidRDefault="00F94512" w:rsidP="00A823BF">
      <w:pPr>
        <w:contextualSpacing/>
      </w:pPr>
    </w:p>
    <w:p w14:paraId="3F96F437" w14:textId="77777777" w:rsidR="00251828" w:rsidRDefault="0077528E" w:rsidP="00A823BF">
      <w:pPr>
        <w:contextualSpacing/>
        <w:rPr>
          <w:rFonts w:cs="Microsoft Sans Serif"/>
        </w:rPr>
      </w:pPr>
      <w:r w:rsidRPr="0077528E">
        <w:rPr>
          <w:rFonts w:cs="Microsoft Sans Serif"/>
        </w:rPr>
        <w:t xml:space="preserve">A </w:t>
      </w:r>
      <w:r w:rsidR="007F5C85">
        <w:rPr>
          <w:rFonts w:cs="Microsoft Sans Serif"/>
        </w:rPr>
        <w:t>retainer</w:t>
      </w:r>
      <w:r w:rsidRPr="0077528E">
        <w:rPr>
          <w:rFonts w:cs="Microsoft Sans Serif"/>
        </w:rPr>
        <w:t xml:space="preserve"> contract is not closed by Audit</w:t>
      </w:r>
      <w:r w:rsidR="00251828">
        <w:rPr>
          <w:rFonts w:cs="Microsoft Sans Serif"/>
        </w:rPr>
        <w:t>s</w:t>
      </w:r>
      <w:r w:rsidRPr="0077528E">
        <w:rPr>
          <w:rFonts w:cs="Microsoft Sans Serif"/>
        </w:rPr>
        <w:t xml:space="preserve"> until </w:t>
      </w:r>
      <w:r w:rsidR="007F5C85" w:rsidRPr="007F5C85">
        <w:rPr>
          <w:rFonts w:cs="Microsoft Sans Serif"/>
          <w:i/>
          <w:iCs/>
        </w:rPr>
        <w:t>all</w:t>
      </w:r>
      <w:r w:rsidRPr="007F5C85">
        <w:rPr>
          <w:rFonts w:cs="Microsoft Sans Serif"/>
          <w:i/>
          <w:iCs/>
        </w:rPr>
        <w:t xml:space="preserve"> </w:t>
      </w:r>
      <w:r w:rsidRPr="0077528E">
        <w:rPr>
          <w:rFonts w:cs="Microsoft Sans Serif"/>
        </w:rPr>
        <w:t>work order</w:t>
      </w:r>
      <w:r w:rsidR="007F5C85">
        <w:rPr>
          <w:rFonts w:cs="Microsoft Sans Serif"/>
        </w:rPr>
        <w:t xml:space="preserve"> close out forms for</w:t>
      </w:r>
      <w:r w:rsidRPr="0077528E">
        <w:rPr>
          <w:rFonts w:cs="Microsoft Sans Serif"/>
        </w:rPr>
        <w:t xml:space="preserve"> final payment</w:t>
      </w:r>
      <w:r w:rsidR="007F5C85">
        <w:rPr>
          <w:rFonts w:cs="Microsoft Sans Serif"/>
        </w:rPr>
        <w:t>s</w:t>
      </w:r>
      <w:r w:rsidR="00914FE7">
        <w:rPr>
          <w:rFonts w:cs="Microsoft Sans Serif"/>
        </w:rPr>
        <w:t xml:space="preserve"> and indirect cost form</w:t>
      </w:r>
      <w:r w:rsidR="007F5C85">
        <w:rPr>
          <w:rFonts w:cs="Microsoft Sans Serif"/>
        </w:rPr>
        <w:t>s</w:t>
      </w:r>
      <w:r w:rsidRPr="0077528E">
        <w:rPr>
          <w:rFonts w:cs="Microsoft Sans Serif"/>
        </w:rPr>
        <w:t xml:space="preserve"> </w:t>
      </w:r>
      <w:r w:rsidR="007F5C85">
        <w:rPr>
          <w:rFonts w:cs="Microsoft Sans Serif"/>
        </w:rPr>
        <w:t xml:space="preserve">for the true-ups </w:t>
      </w:r>
      <w:r w:rsidRPr="0077528E">
        <w:rPr>
          <w:rFonts w:cs="Microsoft Sans Serif"/>
        </w:rPr>
        <w:t>ha</w:t>
      </w:r>
      <w:r w:rsidR="007F5C85">
        <w:rPr>
          <w:rFonts w:cs="Microsoft Sans Serif"/>
        </w:rPr>
        <w:t>ve</w:t>
      </w:r>
      <w:r w:rsidRPr="0077528E">
        <w:rPr>
          <w:rFonts w:cs="Microsoft Sans Serif"/>
        </w:rPr>
        <w:t xml:space="preserve"> been received</w:t>
      </w:r>
      <w:r w:rsidR="007F5C85">
        <w:rPr>
          <w:rFonts w:cs="Microsoft Sans Serif"/>
        </w:rPr>
        <w:t>.</w:t>
      </w:r>
    </w:p>
    <w:p w14:paraId="1D23C8F0" w14:textId="77777777" w:rsidR="00F94512" w:rsidRDefault="00F94512" w:rsidP="00A823BF">
      <w:pPr>
        <w:contextualSpacing/>
        <w:rPr>
          <w:rFonts w:cs="Microsoft Sans Serif"/>
        </w:rPr>
      </w:pPr>
    </w:p>
    <w:p w14:paraId="00E05956" w14:textId="77777777" w:rsidR="008A7248" w:rsidRDefault="008A7248" w:rsidP="00A823BF">
      <w:pPr>
        <w:contextualSpacing/>
        <w:rPr>
          <w:rFonts w:cs="Microsoft Sans Serif"/>
          <w:b/>
        </w:rPr>
      </w:pPr>
      <w:r w:rsidRPr="008A7248">
        <w:rPr>
          <w:rFonts w:cs="Microsoft Sans Serif"/>
          <w:b/>
        </w:rPr>
        <w:t>Administrative Closure</w:t>
      </w:r>
    </w:p>
    <w:p w14:paraId="39CFE9EC" w14:textId="77777777" w:rsidR="008A7248" w:rsidRDefault="008A7248" w:rsidP="00A823BF">
      <w:pPr>
        <w:contextualSpacing/>
        <w:rPr>
          <w:rFonts w:cs="Microsoft Sans Serif"/>
        </w:rPr>
      </w:pPr>
      <w:r w:rsidRPr="008A7248">
        <w:rPr>
          <w:rFonts w:cs="Microsoft Sans Serif"/>
        </w:rPr>
        <w:t xml:space="preserve">The administrative closure process is not initiated by any single event. A 100% state-funded contract for which detailed information was received and reviewed by the Audit staff as progress payments were made </w:t>
      </w:r>
      <w:r w:rsidR="00F746DB">
        <w:rPr>
          <w:rFonts w:cs="Microsoft Sans Serif"/>
        </w:rPr>
        <w:t>may</w:t>
      </w:r>
      <w:r w:rsidRPr="008A7248">
        <w:rPr>
          <w:rFonts w:cs="Microsoft Sans Serif"/>
        </w:rPr>
        <w:t xml:space="preserve"> be closed when the final payment is processed. For federally-funded contracts, this process </w:t>
      </w:r>
      <w:r w:rsidR="00914FE7">
        <w:rPr>
          <w:rFonts w:cs="Microsoft Sans Serif"/>
        </w:rPr>
        <w:t>may</w:t>
      </w:r>
      <w:r w:rsidRPr="008A7248">
        <w:rPr>
          <w:rFonts w:cs="Microsoft Sans Serif"/>
        </w:rPr>
        <w:t xml:space="preserve"> be initiated once it has been determined that the entity did not meet the thre</w:t>
      </w:r>
      <w:r w:rsidR="00F746DB">
        <w:rPr>
          <w:rFonts w:cs="Microsoft Sans Serif"/>
        </w:rPr>
        <w:t>shold for a</w:t>
      </w:r>
      <w:r w:rsidRPr="008A7248">
        <w:rPr>
          <w:rFonts w:cs="Microsoft Sans Serif"/>
        </w:rPr>
        <w:t xml:space="preserve"> </w:t>
      </w:r>
      <w:r w:rsidR="00F746DB">
        <w:rPr>
          <w:rFonts w:cs="Microsoft Sans Serif"/>
        </w:rPr>
        <w:t>single</w:t>
      </w:r>
      <w:r w:rsidRPr="008A7248">
        <w:rPr>
          <w:rFonts w:cs="Microsoft Sans Serif"/>
        </w:rPr>
        <w:t xml:space="preserve"> audit and all progress payments had been fully documented and determined to be provisionally allowable.</w:t>
      </w:r>
    </w:p>
    <w:p w14:paraId="784DC69E" w14:textId="77777777" w:rsidR="00F94512" w:rsidRPr="008A7248" w:rsidRDefault="00F94512" w:rsidP="00A823BF">
      <w:pPr>
        <w:contextualSpacing/>
        <w:rPr>
          <w:rFonts w:cs="Microsoft Sans Serif"/>
        </w:rPr>
      </w:pPr>
    </w:p>
    <w:p w14:paraId="5AC9966E" w14:textId="4CE64816" w:rsidR="00C269B7" w:rsidRDefault="00C269B7" w:rsidP="00A823BF">
      <w:pPr>
        <w:contextualSpacing/>
        <w:rPr>
          <w:rFonts w:cs="Microsoft Sans Serif"/>
          <w:i/>
        </w:rPr>
      </w:pPr>
      <w:r w:rsidRPr="00C269B7">
        <w:rPr>
          <w:rFonts w:cs="Microsoft Sans Serif"/>
          <w:i/>
        </w:rPr>
        <w:t>Audits reserves the right to do a full scope audit or desk audit on any contract at any point.</w:t>
      </w:r>
    </w:p>
    <w:p w14:paraId="45F2153F" w14:textId="3350E6A8" w:rsidR="00A5509C" w:rsidRPr="00D5051E" w:rsidRDefault="00A5509C" w:rsidP="00A5509C">
      <w:pPr>
        <w:pStyle w:val="ListParagraph"/>
        <w:spacing w:after="0" w:line="256" w:lineRule="auto"/>
        <w:ind w:left="0"/>
        <w:rPr>
          <w:rFonts w:cstheme="minorHAnsi"/>
          <w:b/>
          <w:bCs/>
        </w:rPr>
      </w:pPr>
      <w:r w:rsidRPr="00D5051E">
        <w:rPr>
          <w:rFonts w:cstheme="minorHAnsi"/>
          <w:b/>
          <w:bCs/>
        </w:rPr>
        <w:t>Final Resolution</w:t>
      </w:r>
    </w:p>
    <w:p w14:paraId="7BE49740" w14:textId="684BFB3C" w:rsidR="00A5509C" w:rsidRPr="00A5509C" w:rsidRDefault="00A5509C" w:rsidP="00A5509C">
      <w:pPr>
        <w:pStyle w:val="ListParagraph"/>
        <w:spacing w:after="0" w:line="256" w:lineRule="auto"/>
        <w:ind w:left="0"/>
        <w:rPr>
          <w:rFonts w:cstheme="minorHAnsi"/>
        </w:rPr>
      </w:pPr>
      <w:r w:rsidRPr="00A5509C">
        <w:rPr>
          <w:rFonts w:cstheme="minorHAnsi"/>
        </w:rPr>
        <w:t>In the event of any conflict or inconsistency between the following provisions and any of the provisions of other policies notating audit reports requiring that action be taken, the following provisions shall govern in all respects.</w:t>
      </w:r>
    </w:p>
    <w:p w14:paraId="0B8B753A" w14:textId="77777777" w:rsidR="00A5509C" w:rsidRPr="00A5509C" w:rsidRDefault="00A5509C" w:rsidP="00A5509C">
      <w:pPr>
        <w:pStyle w:val="ListParagraph"/>
        <w:numPr>
          <w:ilvl w:val="0"/>
          <w:numId w:val="36"/>
        </w:numPr>
        <w:spacing w:after="0" w:line="256" w:lineRule="auto"/>
        <w:ind w:left="540" w:hanging="540"/>
        <w:rPr>
          <w:rFonts w:cstheme="minorHAnsi"/>
          <w:bCs/>
        </w:rPr>
      </w:pPr>
      <w:r w:rsidRPr="00A5509C">
        <w:rPr>
          <w:rFonts w:cstheme="minorHAnsi"/>
          <w:bCs/>
        </w:rPr>
        <w:t xml:space="preserve">Allowability of costs incurred will be determined but not limited to the following: </w:t>
      </w:r>
    </w:p>
    <w:p w14:paraId="001CF908" w14:textId="77777777" w:rsidR="00A5509C" w:rsidRPr="00A5509C" w:rsidRDefault="00A5509C" w:rsidP="00A5509C">
      <w:pPr>
        <w:pStyle w:val="ListParagraph"/>
        <w:numPr>
          <w:ilvl w:val="0"/>
          <w:numId w:val="42"/>
        </w:numPr>
        <w:spacing w:after="0" w:line="240" w:lineRule="auto"/>
        <w:ind w:left="1440"/>
        <w:rPr>
          <w:rFonts w:cstheme="minorHAnsi"/>
          <w:bCs/>
        </w:rPr>
      </w:pPr>
      <w:r w:rsidRPr="00A5509C">
        <w:rPr>
          <w:rFonts w:cstheme="minorHAnsi"/>
          <w:bCs/>
        </w:rPr>
        <w:t>South Dakota State Law, Regulation, or Policy</w:t>
      </w:r>
    </w:p>
    <w:p w14:paraId="728A5BE7" w14:textId="77777777" w:rsidR="00A5509C" w:rsidRPr="00A5509C" w:rsidRDefault="00A5509C" w:rsidP="00A5509C">
      <w:pPr>
        <w:pStyle w:val="ListParagraph"/>
        <w:numPr>
          <w:ilvl w:val="0"/>
          <w:numId w:val="42"/>
        </w:numPr>
        <w:spacing w:after="0" w:line="240" w:lineRule="auto"/>
        <w:ind w:left="1440"/>
        <w:rPr>
          <w:rFonts w:cstheme="minorHAnsi"/>
          <w:bCs/>
        </w:rPr>
      </w:pPr>
      <w:r w:rsidRPr="00A5509C">
        <w:rPr>
          <w:rFonts w:cstheme="minorHAnsi"/>
          <w:bCs/>
        </w:rPr>
        <w:t>South Dakota DOT Regulation or Policy</w:t>
      </w:r>
    </w:p>
    <w:p w14:paraId="40F4AF5F" w14:textId="77777777" w:rsidR="00A5509C" w:rsidRPr="00A5509C" w:rsidRDefault="00A5509C" w:rsidP="00A5509C">
      <w:pPr>
        <w:pStyle w:val="ListParagraph"/>
        <w:numPr>
          <w:ilvl w:val="0"/>
          <w:numId w:val="42"/>
        </w:numPr>
        <w:spacing w:after="0" w:line="240" w:lineRule="auto"/>
        <w:ind w:left="1440"/>
        <w:rPr>
          <w:rFonts w:cstheme="minorHAnsi"/>
          <w:bCs/>
        </w:rPr>
      </w:pPr>
      <w:r w:rsidRPr="00A5509C">
        <w:rPr>
          <w:rFonts w:cstheme="minorHAnsi"/>
          <w:bCs/>
        </w:rPr>
        <w:t>Sponsoring Federal Agency Law, Regulation or Policy</w:t>
      </w:r>
    </w:p>
    <w:p w14:paraId="05F89A85" w14:textId="77777777" w:rsidR="00A5509C" w:rsidRPr="00A5509C" w:rsidRDefault="00A5509C" w:rsidP="00A5509C">
      <w:pPr>
        <w:pStyle w:val="ListParagraph"/>
        <w:numPr>
          <w:ilvl w:val="0"/>
          <w:numId w:val="42"/>
        </w:numPr>
        <w:spacing w:after="0" w:line="240" w:lineRule="auto"/>
        <w:ind w:left="1440"/>
        <w:rPr>
          <w:rFonts w:cstheme="minorHAnsi"/>
          <w:bCs/>
        </w:rPr>
      </w:pPr>
      <w:r w:rsidRPr="00A5509C">
        <w:rPr>
          <w:rFonts w:cstheme="minorHAnsi"/>
          <w:bCs/>
        </w:rPr>
        <w:t>Federal Acquisition Regulations (48 CFR 31)</w:t>
      </w:r>
    </w:p>
    <w:p w14:paraId="2D4C8CFA" w14:textId="77777777" w:rsidR="00A5509C" w:rsidRPr="00A5509C" w:rsidRDefault="00A5509C" w:rsidP="00A5509C">
      <w:pPr>
        <w:pStyle w:val="ListParagraph"/>
        <w:numPr>
          <w:ilvl w:val="0"/>
          <w:numId w:val="42"/>
        </w:numPr>
        <w:spacing w:after="0" w:line="240" w:lineRule="auto"/>
        <w:ind w:left="1440"/>
        <w:rPr>
          <w:rFonts w:cstheme="minorHAnsi"/>
          <w:bCs/>
        </w:rPr>
      </w:pPr>
      <w:r w:rsidRPr="00A5509C">
        <w:rPr>
          <w:rFonts w:cstheme="minorHAnsi"/>
          <w:bCs/>
        </w:rPr>
        <w:t>Title 2 CFR 200</w:t>
      </w:r>
    </w:p>
    <w:p w14:paraId="6CC9102F" w14:textId="77777777" w:rsidR="00A5509C" w:rsidRPr="00A5509C" w:rsidRDefault="00A5509C" w:rsidP="00A5509C">
      <w:pPr>
        <w:pStyle w:val="ListParagraph"/>
        <w:numPr>
          <w:ilvl w:val="0"/>
          <w:numId w:val="42"/>
        </w:numPr>
        <w:spacing w:after="0" w:line="240" w:lineRule="auto"/>
        <w:ind w:left="1440"/>
        <w:rPr>
          <w:rFonts w:cstheme="minorHAnsi"/>
          <w:bCs/>
        </w:rPr>
      </w:pPr>
      <w:r w:rsidRPr="00A5509C">
        <w:rPr>
          <w:rFonts w:cstheme="minorHAnsi"/>
          <w:bCs/>
        </w:rPr>
        <w:t>Title 23 CFR 172</w:t>
      </w:r>
    </w:p>
    <w:p w14:paraId="787ED235" w14:textId="77777777" w:rsidR="00A5509C" w:rsidRPr="00A5509C" w:rsidRDefault="00A5509C" w:rsidP="00A5509C">
      <w:pPr>
        <w:pStyle w:val="ListParagraph"/>
        <w:numPr>
          <w:ilvl w:val="0"/>
          <w:numId w:val="42"/>
        </w:numPr>
        <w:spacing w:after="0" w:line="240" w:lineRule="auto"/>
        <w:ind w:left="1440"/>
        <w:rPr>
          <w:rFonts w:cstheme="minorHAnsi"/>
          <w:bCs/>
        </w:rPr>
      </w:pPr>
      <w:r w:rsidRPr="00A5509C">
        <w:rPr>
          <w:rFonts w:cstheme="minorHAnsi"/>
          <w:bCs/>
        </w:rPr>
        <w:t>Applicable Office of Management and Budget Circulars</w:t>
      </w:r>
    </w:p>
    <w:p w14:paraId="34533444" w14:textId="77777777" w:rsidR="00A5509C" w:rsidRPr="00A5509C" w:rsidRDefault="00A5509C" w:rsidP="00A5509C">
      <w:pPr>
        <w:pStyle w:val="ListParagraph"/>
        <w:numPr>
          <w:ilvl w:val="0"/>
          <w:numId w:val="42"/>
        </w:numPr>
        <w:spacing w:after="0" w:line="240" w:lineRule="auto"/>
        <w:ind w:left="1440"/>
        <w:rPr>
          <w:rFonts w:cstheme="minorHAnsi"/>
          <w:bCs/>
        </w:rPr>
      </w:pPr>
      <w:r w:rsidRPr="00A5509C">
        <w:rPr>
          <w:rFonts w:cstheme="minorHAnsi"/>
          <w:bCs/>
        </w:rPr>
        <w:t>Generally Accepted Accounting Principles</w:t>
      </w:r>
    </w:p>
    <w:p w14:paraId="7708D5AA" w14:textId="77777777" w:rsidR="00A5509C" w:rsidRPr="00A5509C" w:rsidRDefault="00A5509C" w:rsidP="00A5509C">
      <w:pPr>
        <w:pStyle w:val="ListParagraph"/>
        <w:numPr>
          <w:ilvl w:val="0"/>
          <w:numId w:val="36"/>
        </w:numPr>
        <w:spacing w:after="0" w:line="256" w:lineRule="auto"/>
        <w:ind w:left="540" w:hanging="540"/>
        <w:rPr>
          <w:rFonts w:cstheme="minorHAnsi"/>
          <w:bCs/>
        </w:rPr>
      </w:pPr>
      <w:r w:rsidRPr="00A5509C">
        <w:rPr>
          <w:rFonts w:cstheme="minorHAnsi"/>
          <w:bCs/>
        </w:rPr>
        <w:t>If expressly unallowable as defined above:</w:t>
      </w:r>
    </w:p>
    <w:p w14:paraId="28F9C71B" w14:textId="77777777" w:rsidR="00A5509C" w:rsidRPr="00A5509C" w:rsidRDefault="00A5509C" w:rsidP="00A5509C">
      <w:pPr>
        <w:pStyle w:val="ListParagraph"/>
        <w:numPr>
          <w:ilvl w:val="0"/>
          <w:numId w:val="43"/>
        </w:numPr>
        <w:spacing w:after="0" w:line="240" w:lineRule="auto"/>
        <w:ind w:left="1440"/>
        <w:rPr>
          <w:rFonts w:cstheme="minorHAnsi"/>
        </w:rPr>
      </w:pPr>
      <w:r w:rsidRPr="00A5509C">
        <w:rPr>
          <w:rFonts w:cstheme="minorHAnsi"/>
        </w:rPr>
        <w:t xml:space="preserve">Costs will not be allowed to be paid with the funding defining the cost as unallowable, i.e., "participating" costs found to be unallowable under Federal Agency Regulations (FAR) must be coded "nonparticipating" if not refunded to the SDDOT by the company.  </w:t>
      </w:r>
    </w:p>
    <w:p w14:paraId="11582377" w14:textId="77777777" w:rsidR="00A5509C" w:rsidRPr="00A5509C" w:rsidRDefault="00A5509C" w:rsidP="00A5509C">
      <w:pPr>
        <w:pStyle w:val="ListParagraph"/>
        <w:numPr>
          <w:ilvl w:val="0"/>
          <w:numId w:val="43"/>
        </w:numPr>
        <w:spacing w:after="0" w:line="240" w:lineRule="auto"/>
        <w:ind w:left="1440"/>
        <w:rPr>
          <w:rFonts w:cstheme="minorHAnsi"/>
        </w:rPr>
      </w:pPr>
      <w:r w:rsidRPr="00A5509C">
        <w:rPr>
          <w:rFonts w:cstheme="minorHAnsi"/>
        </w:rPr>
        <w:t xml:space="preserve">The </w:t>
      </w:r>
      <w:r w:rsidRPr="00D5051E">
        <w:rPr>
          <w:rFonts w:cstheme="minorHAnsi"/>
          <w:b/>
          <w:bCs/>
        </w:rPr>
        <w:t>Lead Auditor</w:t>
      </w:r>
      <w:r w:rsidRPr="00D5051E">
        <w:rPr>
          <w:rFonts w:cstheme="minorHAnsi"/>
        </w:rPr>
        <w:t xml:space="preserve"> </w:t>
      </w:r>
      <w:r w:rsidRPr="00A5509C">
        <w:rPr>
          <w:rFonts w:cstheme="minorHAnsi"/>
        </w:rPr>
        <w:t>will work with the appropriate program manager to issue the resolution to the contractor.</w:t>
      </w:r>
    </w:p>
    <w:p w14:paraId="7D5538BC" w14:textId="751CCF86" w:rsidR="00A5509C" w:rsidRDefault="00A5509C" w:rsidP="00A5509C">
      <w:pPr>
        <w:pStyle w:val="ListParagraph"/>
        <w:spacing w:line="240" w:lineRule="auto"/>
        <w:ind w:left="0"/>
        <w:rPr>
          <w:rFonts w:cstheme="minorHAnsi"/>
          <w:snapToGrid w:val="0"/>
          <w:color w:val="000000"/>
        </w:rPr>
      </w:pPr>
      <w:r w:rsidRPr="00A5509C">
        <w:rPr>
          <w:rFonts w:cstheme="minorHAnsi"/>
        </w:rPr>
        <w:lastRenderedPageBreak/>
        <w:t xml:space="preserve">If there is room for interpretation as defined above, the </w:t>
      </w:r>
      <w:r w:rsidRPr="00D5051E">
        <w:rPr>
          <w:rFonts w:cstheme="minorHAnsi"/>
          <w:b/>
          <w:bCs/>
        </w:rPr>
        <w:t>Internal Services Program Manager and Lead Auditor</w:t>
      </w:r>
      <w:r w:rsidRPr="00D5051E">
        <w:rPr>
          <w:rFonts w:cstheme="minorHAnsi"/>
        </w:rPr>
        <w:t xml:space="preserve"> </w:t>
      </w:r>
      <w:r w:rsidRPr="00A5509C">
        <w:rPr>
          <w:rFonts w:cstheme="minorHAnsi"/>
        </w:rPr>
        <w:t>will provide copies of the audit report and related resolution documentation to t</w:t>
      </w:r>
      <w:r w:rsidRPr="00A5509C">
        <w:rPr>
          <w:rFonts w:cstheme="minorHAnsi"/>
          <w:snapToGrid w:val="0"/>
          <w:color w:val="000000"/>
        </w:rPr>
        <w:t xml:space="preserve">he appropriate division director for input then the Secretary for final determination. </w:t>
      </w:r>
    </w:p>
    <w:p w14:paraId="6D524362" w14:textId="07F0029D" w:rsidR="00D5051E" w:rsidRDefault="00D5051E" w:rsidP="00A5509C">
      <w:pPr>
        <w:pStyle w:val="ListParagraph"/>
        <w:spacing w:line="240" w:lineRule="auto"/>
        <w:ind w:left="0"/>
        <w:rPr>
          <w:rFonts w:cstheme="minorHAnsi"/>
          <w:snapToGrid w:val="0"/>
          <w:color w:val="000000"/>
        </w:rPr>
      </w:pPr>
    </w:p>
    <w:p w14:paraId="27A093AF" w14:textId="77777777" w:rsidR="00D5051E" w:rsidRPr="00D5051E" w:rsidRDefault="00D5051E" w:rsidP="00D5051E">
      <w:pPr>
        <w:rPr>
          <w:rFonts w:cs="Arial"/>
        </w:rPr>
      </w:pPr>
      <w:r w:rsidRPr="00D5051E">
        <w:rPr>
          <w:rFonts w:cs="Arial"/>
        </w:rPr>
        <w:t>In the resolution of audits of private companies who contract with the Department of Transportation (SDDOT), there are widespread questions about officers and/or principals of the companies owning the office space or equipment and renting it to themselves.  This is called “common control”, and rules stipulate that in these instances rental rates cannot exceed costs.  Costs are calculated by allowing the costs of ownership and the cost of money, which allows for a return on their money.  There are no provisions for charging a market rate.</w:t>
      </w:r>
    </w:p>
    <w:p w14:paraId="564E6B34" w14:textId="77777777" w:rsidR="00D5051E" w:rsidRPr="00D5051E" w:rsidRDefault="00D5051E" w:rsidP="00D5051E">
      <w:pPr>
        <w:rPr>
          <w:rFonts w:cs="Arial"/>
        </w:rPr>
      </w:pPr>
    </w:p>
    <w:p w14:paraId="1973806F" w14:textId="77777777" w:rsidR="00D5051E" w:rsidRPr="00D5051E" w:rsidRDefault="00D5051E" w:rsidP="00D5051E">
      <w:pPr>
        <w:rPr>
          <w:rFonts w:cs="Arial"/>
        </w:rPr>
      </w:pPr>
      <w:r w:rsidRPr="00D5051E">
        <w:rPr>
          <w:rFonts w:cs="Arial"/>
        </w:rPr>
        <w:t>SDDOT conducts audits in accordance with:</w:t>
      </w:r>
    </w:p>
    <w:p w14:paraId="7F12F44B" w14:textId="77777777" w:rsidR="00D5051E" w:rsidRPr="00D5051E" w:rsidRDefault="00D5051E" w:rsidP="00D5051E">
      <w:pPr>
        <w:pStyle w:val="ListParagraph"/>
        <w:numPr>
          <w:ilvl w:val="2"/>
          <w:numId w:val="44"/>
        </w:numPr>
        <w:spacing w:after="0" w:line="256" w:lineRule="auto"/>
        <w:ind w:left="1440"/>
        <w:rPr>
          <w:rFonts w:cs="Arial"/>
        </w:rPr>
      </w:pPr>
      <w:r w:rsidRPr="00D5051E">
        <w:rPr>
          <w:rFonts w:cs="Arial"/>
        </w:rPr>
        <w:t>South Dakota State Law, Regulation or Policy</w:t>
      </w:r>
    </w:p>
    <w:p w14:paraId="1532D683" w14:textId="77777777" w:rsidR="00D5051E" w:rsidRPr="00D5051E" w:rsidRDefault="00D5051E" w:rsidP="00D5051E">
      <w:pPr>
        <w:pStyle w:val="ListParagraph"/>
        <w:numPr>
          <w:ilvl w:val="2"/>
          <w:numId w:val="44"/>
        </w:numPr>
        <w:spacing w:after="0" w:line="256" w:lineRule="auto"/>
        <w:ind w:left="1440"/>
        <w:rPr>
          <w:rFonts w:cs="Arial"/>
        </w:rPr>
      </w:pPr>
      <w:r w:rsidRPr="00D5051E">
        <w:rPr>
          <w:rFonts w:cs="Arial"/>
        </w:rPr>
        <w:t>South Dakota DOT Regulation or Policy</w:t>
      </w:r>
    </w:p>
    <w:p w14:paraId="5A5C1D68" w14:textId="77777777" w:rsidR="00D5051E" w:rsidRPr="00D5051E" w:rsidRDefault="00D5051E" w:rsidP="00D5051E">
      <w:pPr>
        <w:pStyle w:val="ListParagraph"/>
        <w:numPr>
          <w:ilvl w:val="2"/>
          <w:numId w:val="44"/>
        </w:numPr>
        <w:spacing w:after="0" w:line="256" w:lineRule="auto"/>
        <w:ind w:left="1440"/>
        <w:rPr>
          <w:rFonts w:cs="Arial"/>
        </w:rPr>
      </w:pPr>
      <w:r w:rsidRPr="00D5051E">
        <w:rPr>
          <w:rFonts w:cs="Arial"/>
        </w:rPr>
        <w:t>Sponsoring Federal Agency Law, Regulation or Policy</w:t>
      </w:r>
    </w:p>
    <w:p w14:paraId="1AE0F301" w14:textId="77777777" w:rsidR="00D5051E" w:rsidRPr="00D5051E" w:rsidRDefault="00D5051E" w:rsidP="00D5051E">
      <w:pPr>
        <w:pStyle w:val="ListParagraph"/>
        <w:numPr>
          <w:ilvl w:val="2"/>
          <w:numId w:val="44"/>
        </w:numPr>
        <w:spacing w:after="0" w:line="256" w:lineRule="auto"/>
        <w:ind w:left="1440"/>
        <w:rPr>
          <w:rFonts w:cs="Arial"/>
        </w:rPr>
      </w:pPr>
      <w:r w:rsidRPr="00D5051E">
        <w:rPr>
          <w:rFonts w:cs="Arial"/>
        </w:rPr>
        <w:t>Federal Acquisition Regulations (48 CFR part 31.2)</w:t>
      </w:r>
    </w:p>
    <w:p w14:paraId="42D72722" w14:textId="77777777" w:rsidR="00D5051E" w:rsidRPr="00D5051E" w:rsidRDefault="00D5051E" w:rsidP="00D5051E">
      <w:pPr>
        <w:pStyle w:val="ListParagraph"/>
        <w:numPr>
          <w:ilvl w:val="2"/>
          <w:numId w:val="44"/>
        </w:numPr>
        <w:spacing w:after="0" w:line="256" w:lineRule="auto"/>
        <w:ind w:left="1440"/>
        <w:rPr>
          <w:rFonts w:cs="Arial"/>
        </w:rPr>
      </w:pPr>
      <w:r w:rsidRPr="00D5051E">
        <w:rPr>
          <w:rFonts w:cs="Arial"/>
        </w:rPr>
        <w:t>Cost Accounting Standards (48 CFR part 30)</w:t>
      </w:r>
    </w:p>
    <w:p w14:paraId="53051EEA" w14:textId="77777777" w:rsidR="00D5051E" w:rsidRPr="00D5051E" w:rsidRDefault="00D5051E" w:rsidP="00D5051E">
      <w:pPr>
        <w:pStyle w:val="ListParagraph"/>
        <w:numPr>
          <w:ilvl w:val="2"/>
          <w:numId w:val="44"/>
        </w:numPr>
        <w:spacing w:after="0" w:line="256" w:lineRule="auto"/>
        <w:ind w:left="1440"/>
        <w:rPr>
          <w:rFonts w:cs="Arial"/>
        </w:rPr>
      </w:pPr>
      <w:r w:rsidRPr="00D5051E">
        <w:rPr>
          <w:rFonts w:cs="Arial"/>
        </w:rPr>
        <w:t>Generally Accepted Accounting Principles</w:t>
      </w:r>
    </w:p>
    <w:p w14:paraId="067FCF81" w14:textId="77777777" w:rsidR="00D5051E" w:rsidRPr="00D5051E" w:rsidRDefault="00D5051E" w:rsidP="00D5051E">
      <w:pPr>
        <w:rPr>
          <w:rFonts w:cs="Arial"/>
        </w:rPr>
      </w:pPr>
    </w:p>
    <w:p w14:paraId="704828D4" w14:textId="77777777" w:rsidR="00D5051E" w:rsidRPr="00D5051E" w:rsidRDefault="00D5051E" w:rsidP="00D5051E">
      <w:pPr>
        <w:rPr>
          <w:rFonts w:cs="Arial"/>
        </w:rPr>
      </w:pPr>
      <w:r w:rsidRPr="00D5051E">
        <w:rPr>
          <w:rFonts w:cs="Arial"/>
        </w:rPr>
        <w:t>Since no definition of “common control” is found in any of the above references, the following definition of “common control” shall apply to all audits performed by SDDOT:</w:t>
      </w:r>
    </w:p>
    <w:p w14:paraId="65533443" w14:textId="77777777" w:rsidR="00D5051E" w:rsidRPr="00D5051E" w:rsidRDefault="00D5051E" w:rsidP="00D5051E">
      <w:pPr>
        <w:ind w:left="1440" w:right="720"/>
        <w:rPr>
          <w:rFonts w:cs="Arial"/>
          <w:i/>
          <w:iCs/>
        </w:rPr>
      </w:pPr>
      <w:r w:rsidRPr="00D5051E">
        <w:rPr>
          <w:rFonts w:cs="Arial"/>
          <w:i/>
          <w:iCs/>
        </w:rPr>
        <w:t xml:space="preserve">Common control exists whenever any principal, partner, corporate officer, a stockholder holding 20 percent or more of the outstanding shares, or an  immediate family member of the aforementioned parties, is in a position of full or partial ownership of property rented or leased to the company, by contract or otherwise.  A relationship meeting any one of these criteria shall be deemed "common control.”  </w:t>
      </w:r>
    </w:p>
    <w:p w14:paraId="22A35F7A" w14:textId="77777777" w:rsidR="00D5051E" w:rsidRPr="00D5051E" w:rsidRDefault="00D5051E" w:rsidP="00D5051E">
      <w:pPr>
        <w:rPr>
          <w:rFonts w:cs="Arial"/>
          <w:b/>
        </w:rPr>
      </w:pPr>
      <w:r w:rsidRPr="00D5051E">
        <w:rPr>
          <w:rFonts w:cs="Arial"/>
          <w:snapToGrid w:val="0"/>
        </w:rPr>
        <w:t xml:space="preserve">"Immediate family" is defined as the employee's spouse, children, mother, father, mother-in-law, father-in-law, daughter-in-law, son-in-law, brothers, sisters, grandparents, grandchildren, stepchildren, stepparents, and, foster children.  </w:t>
      </w:r>
    </w:p>
    <w:p w14:paraId="56F1A013" w14:textId="3BDC0F0D" w:rsidR="00005105" w:rsidRDefault="00391825" w:rsidP="00A823BF">
      <w:pPr>
        <w:spacing w:after="0" w:line="240" w:lineRule="auto"/>
        <w:contextualSpacing/>
        <w:rPr>
          <w:b/>
          <w:sz w:val="28"/>
          <w:szCs w:val="28"/>
        </w:rPr>
      </w:pPr>
      <w:r w:rsidRPr="00A46F17">
        <w:rPr>
          <w:b/>
          <w:sz w:val="28"/>
          <w:szCs w:val="28"/>
        </w:rPr>
        <w:t>VI</w:t>
      </w:r>
      <w:r w:rsidR="00436ADA" w:rsidRPr="00A46F17">
        <w:rPr>
          <w:b/>
          <w:sz w:val="28"/>
          <w:szCs w:val="28"/>
        </w:rPr>
        <w:t>I</w:t>
      </w:r>
      <w:r w:rsidR="00623C14">
        <w:rPr>
          <w:b/>
          <w:sz w:val="28"/>
          <w:szCs w:val="28"/>
        </w:rPr>
        <w:t>I</w:t>
      </w:r>
      <w:r w:rsidRPr="00A46F17">
        <w:rPr>
          <w:b/>
          <w:sz w:val="28"/>
          <w:szCs w:val="28"/>
        </w:rPr>
        <w:t>. Federal Gran</w:t>
      </w:r>
      <w:r w:rsidR="00E73404" w:rsidRPr="00A46F17">
        <w:rPr>
          <w:b/>
          <w:sz w:val="28"/>
          <w:szCs w:val="28"/>
        </w:rPr>
        <w:t>t</w:t>
      </w:r>
      <w:r w:rsidRPr="00A46F17">
        <w:rPr>
          <w:b/>
          <w:sz w:val="28"/>
          <w:szCs w:val="28"/>
        </w:rPr>
        <w:t xml:space="preserve"> Subrecipient Monitoring</w:t>
      </w:r>
      <w:r w:rsidR="006A0181" w:rsidRPr="00A46F17">
        <w:rPr>
          <w:b/>
          <w:sz w:val="28"/>
          <w:szCs w:val="28"/>
        </w:rPr>
        <w:t xml:space="preserve"> </w:t>
      </w:r>
      <w:r w:rsidR="00D15DBB" w:rsidRPr="00A46F17">
        <w:rPr>
          <w:b/>
          <w:sz w:val="28"/>
          <w:szCs w:val="28"/>
        </w:rPr>
        <w:t>(2 CFR 200)</w:t>
      </w:r>
    </w:p>
    <w:p w14:paraId="0E96CB67" w14:textId="77777777" w:rsidR="00261FC6" w:rsidRDefault="00261FC6" w:rsidP="00A823BF">
      <w:pPr>
        <w:spacing w:after="0" w:line="240" w:lineRule="auto"/>
        <w:contextualSpacing/>
        <w:rPr>
          <w:b/>
          <w:sz w:val="28"/>
          <w:szCs w:val="28"/>
        </w:rPr>
      </w:pPr>
    </w:p>
    <w:p w14:paraId="4A05F85F" w14:textId="00076B14" w:rsidR="00B10468" w:rsidRDefault="00B10468" w:rsidP="00A823BF">
      <w:pPr>
        <w:spacing w:after="0" w:line="240" w:lineRule="auto"/>
        <w:contextualSpacing/>
        <w:rPr>
          <w:rStyle w:val="Hyperlink"/>
        </w:rPr>
      </w:pPr>
      <w:r w:rsidRPr="00B10468">
        <w:t xml:space="preserve">Please see our </w:t>
      </w:r>
      <w:hyperlink r:id="rId12" w:history="1">
        <w:r w:rsidRPr="00B10468">
          <w:rPr>
            <w:rStyle w:val="Hyperlink"/>
          </w:rPr>
          <w:t>Subrecipient Risk Assessment and Ongoing Monitoring Plan</w:t>
        </w:r>
      </w:hyperlink>
    </w:p>
    <w:p w14:paraId="37A3884D" w14:textId="17B0C7FF" w:rsidR="00803594" w:rsidRDefault="00803594" w:rsidP="00A823BF">
      <w:pPr>
        <w:spacing w:after="0" w:line="240" w:lineRule="auto"/>
        <w:contextualSpacing/>
        <w:rPr>
          <w:rStyle w:val="Hyperlink"/>
        </w:rPr>
      </w:pPr>
    </w:p>
    <w:p w14:paraId="73F53077" w14:textId="4C4BC22A" w:rsidR="00803594" w:rsidRPr="00E1430E" w:rsidRDefault="00E1430E" w:rsidP="00A823BF">
      <w:pPr>
        <w:spacing w:after="0" w:line="240" w:lineRule="auto"/>
        <w:contextualSpacing/>
      </w:pPr>
      <w:r w:rsidRPr="00E1430E">
        <w:rPr>
          <w:rStyle w:val="Hyperlink"/>
          <w:color w:val="auto"/>
          <w:u w:val="none"/>
        </w:rPr>
        <w:t>The originating office</w:t>
      </w:r>
      <w:r>
        <w:rPr>
          <w:rStyle w:val="Hyperlink"/>
          <w:color w:val="auto"/>
          <w:u w:val="none"/>
        </w:rPr>
        <w:t xml:space="preserve"> is responsible for filling out the Contractor or Subrecipient Relationship Determination Checklist to determine if a Risk Assessment packet is required. If the determination is a Subrecipient, the originating office will send out the DOT Subrecipient Questionnaire for the </w:t>
      </w:r>
      <w:r>
        <w:rPr>
          <w:rStyle w:val="Hyperlink"/>
          <w:color w:val="auto"/>
          <w:u w:val="none"/>
        </w:rPr>
        <w:lastRenderedPageBreak/>
        <w:t>subrecipient to fill out and include all requested information in the Risk Assessment packet and will forward to Audits with ALL documentation for assessment.</w:t>
      </w:r>
    </w:p>
    <w:p w14:paraId="62163910" w14:textId="77777777" w:rsidR="00B10468" w:rsidRDefault="00B10468" w:rsidP="00A823BF">
      <w:pPr>
        <w:spacing w:after="0" w:line="240" w:lineRule="auto"/>
        <w:contextualSpacing/>
        <w:rPr>
          <w:b/>
          <w:sz w:val="28"/>
          <w:szCs w:val="28"/>
        </w:rPr>
      </w:pPr>
    </w:p>
    <w:p w14:paraId="099811E1" w14:textId="77777777" w:rsidR="00E13992" w:rsidRDefault="00BF6F99" w:rsidP="00A823BF">
      <w:pPr>
        <w:contextualSpacing/>
        <w:rPr>
          <w:b/>
          <w:sz w:val="28"/>
          <w:szCs w:val="28"/>
        </w:rPr>
      </w:pPr>
      <w:r>
        <w:rPr>
          <w:b/>
          <w:sz w:val="24"/>
          <w:szCs w:val="24"/>
          <w:u w:val="single"/>
        </w:rPr>
        <w:t>Pre-Award Risk Assessment</w:t>
      </w:r>
    </w:p>
    <w:p w14:paraId="29F289E8" w14:textId="77777777" w:rsidR="00E13992" w:rsidRDefault="00E13992" w:rsidP="00A823BF">
      <w:pPr>
        <w:spacing w:after="0" w:line="240" w:lineRule="auto"/>
        <w:contextualSpacing/>
      </w:pPr>
      <w:r>
        <w:t>Prior to the grant awards, t</w:t>
      </w:r>
      <w:r w:rsidRPr="00A46F17">
        <w:t>he State of South Dakota Subrecipient Questionnaire</w:t>
      </w:r>
      <w:r>
        <w:t>/Risk Assessment</w:t>
      </w:r>
      <w:r w:rsidRPr="00A46F17">
        <w:t xml:space="preserve"> is </w:t>
      </w:r>
      <w:r w:rsidR="00D45952">
        <w:t xml:space="preserve">completed by the subrecipient and </w:t>
      </w:r>
      <w:r w:rsidRPr="00A46F17">
        <w:t xml:space="preserve">received by the program administrator with the application for the grant. The questionnaire is directly forwarded to </w:t>
      </w:r>
      <w:r>
        <w:t>A</w:t>
      </w:r>
      <w:r w:rsidRPr="00A46F17">
        <w:t>udits</w:t>
      </w:r>
      <w:r>
        <w:t xml:space="preserve"> </w:t>
      </w:r>
      <w:r w:rsidR="00D45952">
        <w:t>for</w:t>
      </w:r>
      <w:r w:rsidR="003935A5">
        <w:t xml:space="preserve"> </w:t>
      </w:r>
      <w:r>
        <w:t>review</w:t>
      </w:r>
      <w:r w:rsidRPr="00A46F17">
        <w:t>.</w:t>
      </w:r>
    </w:p>
    <w:p w14:paraId="58A1405A" w14:textId="77777777" w:rsidR="00154E41" w:rsidRDefault="00154E41" w:rsidP="00A823BF">
      <w:pPr>
        <w:spacing w:after="0" w:line="240" w:lineRule="auto"/>
        <w:contextualSpacing/>
      </w:pPr>
    </w:p>
    <w:p w14:paraId="3D2EA9F1" w14:textId="77777777" w:rsidR="00154E41" w:rsidRPr="00A46F17" w:rsidRDefault="00154E41" w:rsidP="00A823BF">
      <w:pPr>
        <w:spacing w:after="0" w:line="240" w:lineRule="auto"/>
        <w:contextualSpacing/>
      </w:pPr>
      <w:r>
        <w:t>The Pre-award Risk Assessment will include but is not limited to the following:</w:t>
      </w:r>
    </w:p>
    <w:p w14:paraId="423A55F2" w14:textId="77777777" w:rsidR="00E13992" w:rsidRPr="00A46F17" w:rsidRDefault="00E13992" w:rsidP="00A823BF">
      <w:pPr>
        <w:spacing w:after="0" w:line="240" w:lineRule="auto"/>
        <w:contextualSpacing/>
      </w:pPr>
    </w:p>
    <w:p w14:paraId="5300051F" w14:textId="77777777" w:rsidR="00BF6F99" w:rsidRDefault="00BF6F99" w:rsidP="00690620">
      <w:pPr>
        <w:pStyle w:val="ListParagraph"/>
        <w:numPr>
          <w:ilvl w:val="0"/>
          <w:numId w:val="21"/>
        </w:numPr>
        <w:tabs>
          <w:tab w:val="left" w:pos="720"/>
        </w:tabs>
        <w:ind w:left="720"/>
      </w:pPr>
      <w:r>
        <w:t>Mandatory Written Policies/Procedures</w:t>
      </w:r>
    </w:p>
    <w:p w14:paraId="42D158CB" w14:textId="77777777" w:rsidR="00BF6F99" w:rsidRDefault="00BF6F99" w:rsidP="00690620">
      <w:pPr>
        <w:pStyle w:val="ListParagraph"/>
        <w:numPr>
          <w:ilvl w:val="0"/>
          <w:numId w:val="23"/>
        </w:numPr>
        <w:tabs>
          <w:tab w:val="left" w:pos="720"/>
          <w:tab w:val="left" w:pos="1440"/>
        </w:tabs>
        <w:ind w:left="1440"/>
      </w:pPr>
      <w:r>
        <w:t xml:space="preserve">Conflict of Interest </w:t>
      </w:r>
    </w:p>
    <w:p w14:paraId="7448381D" w14:textId="77777777" w:rsidR="00BF6F99" w:rsidRDefault="00BF6F99" w:rsidP="00690620">
      <w:pPr>
        <w:pStyle w:val="ListParagraph"/>
        <w:numPr>
          <w:ilvl w:val="0"/>
          <w:numId w:val="23"/>
        </w:numPr>
        <w:tabs>
          <w:tab w:val="left" w:pos="720"/>
          <w:tab w:val="left" w:pos="1440"/>
        </w:tabs>
        <w:ind w:left="1440"/>
      </w:pPr>
      <w:r>
        <w:t xml:space="preserve">Accounting/Cash Management </w:t>
      </w:r>
    </w:p>
    <w:p w14:paraId="119D9E9C" w14:textId="77777777" w:rsidR="00BF6F99" w:rsidRDefault="00BF6F99" w:rsidP="00690620">
      <w:pPr>
        <w:pStyle w:val="ListParagraph"/>
        <w:numPr>
          <w:ilvl w:val="0"/>
          <w:numId w:val="23"/>
        </w:numPr>
        <w:tabs>
          <w:tab w:val="left" w:pos="720"/>
          <w:tab w:val="left" w:pos="1440"/>
        </w:tabs>
        <w:ind w:left="1440"/>
      </w:pPr>
      <w:r>
        <w:t xml:space="preserve">Travel policy </w:t>
      </w:r>
    </w:p>
    <w:p w14:paraId="66DA73B4" w14:textId="77777777" w:rsidR="00BF6F99" w:rsidRDefault="00BF6F99" w:rsidP="00690620">
      <w:pPr>
        <w:pStyle w:val="ListParagraph"/>
        <w:numPr>
          <w:ilvl w:val="0"/>
          <w:numId w:val="23"/>
        </w:numPr>
        <w:tabs>
          <w:tab w:val="left" w:pos="720"/>
          <w:tab w:val="left" w:pos="1440"/>
        </w:tabs>
        <w:ind w:left="1440"/>
      </w:pPr>
      <w:r>
        <w:t xml:space="preserve">Procurement </w:t>
      </w:r>
    </w:p>
    <w:p w14:paraId="6595A099" w14:textId="77777777" w:rsidR="00BF6F99" w:rsidRDefault="00BF6F99" w:rsidP="00690620">
      <w:pPr>
        <w:pStyle w:val="ListParagraph"/>
        <w:numPr>
          <w:ilvl w:val="0"/>
          <w:numId w:val="23"/>
        </w:numPr>
        <w:tabs>
          <w:tab w:val="left" w:pos="720"/>
          <w:tab w:val="left" w:pos="1440"/>
        </w:tabs>
        <w:ind w:left="1440"/>
      </w:pPr>
      <w:r>
        <w:t xml:space="preserve">Time distribution records </w:t>
      </w:r>
    </w:p>
    <w:p w14:paraId="383EF01D" w14:textId="77777777" w:rsidR="00BF6F99" w:rsidRDefault="007A40D2" w:rsidP="00690620">
      <w:pPr>
        <w:pStyle w:val="ListParagraph"/>
        <w:numPr>
          <w:ilvl w:val="0"/>
          <w:numId w:val="23"/>
        </w:numPr>
        <w:tabs>
          <w:tab w:val="left" w:pos="720"/>
          <w:tab w:val="left" w:pos="1440"/>
        </w:tabs>
        <w:ind w:left="1440"/>
      </w:pPr>
      <w:r>
        <w:t xml:space="preserve">Internal Controls </w:t>
      </w:r>
    </w:p>
    <w:p w14:paraId="618E5CE7" w14:textId="77777777" w:rsidR="00BF6F99" w:rsidRDefault="00BF6F99" w:rsidP="00690620">
      <w:pPr>
        <w:pStyle w:val="ListParagraph"/>
        <w:numPr>
          <w:ilvl w:val="1"/>
          <w:numId w:val="22"/>
        </w:numPr>
        <w:tabs>
          <w:tab w:val="left" w:pos="720"/>
        </w:tabs>
        <w:ind w:left="720"/>
      </w:pPr>
      <w:r>
        <w:t>Governing board members and meeting minutes</w:t>
      </w:r>
    </w:p>
    <w:p w14:paraId="2D8EF7FD" w14:textId="77777777" w:rsidR="00BF6F99" w:rsidRDefault="00BF6F99" w:rsidP="00690620">
      <w:pPr>
        <w:pStyle w:val="ListParagraph"/>
        <w:numPr>
          <w:ilvl w:val="1"/>
          <w:numId w:val="22"/>
        </w:numPr>
        <w:tabs>
          <w:tab w:val="left" w:pos="720"/>
        </w:tabs>
        <w:ind w:left="720"/>
      </w:pPr>
      <w:r>
        <w:t>Key personnel performing duties and segregation of duties</w:t>
      </w:r>
    </w:p>
    <w:p w14:paraId="60CC783B" w14:textId="77777777" w:rsidR="00BF6F99" w:rsidRDefault="00BF6F99" w:rsidP="00690620">
      <w:pPr>
        <w:pStyle w:val="ListParagraph"/>
        <w:numPr>
          <w:ilvl w:val="1"/>
          <w:numId w:val="22"/>
        </w:numPr>
        <w:tabs>
          <w:tab w:val="left" w:pos="720"/>
        </w:tabs>
        <w:ind w:left="720"/>
      </w:pPr>
      <w:r>
        <w:t xml:space="preserve">Audit information </w:t>
      </w:r>
      <w:r w:rsidR="00154E41">
        <w:t>(Single Audit/CPA Audit/A-133)</w:t>
      </w:r>
    </w:p>
    <w:p w14:paraId="1F2D48AD" w14:textId="77777777" w:rsidR="00BF6F99" w:rsidRDefault="00BF6F99" w:rsidP="00690620">
      <w:pPr>
        <w:pStyle w:val="ListParagraph"/>
        <w:numPr>
          <w:ilvl w:val="1"/>
          <w:numId w:val="22"/>
        </w:numPr>
        <w:tabs>
          <w:tab w:val="left" w:pos="720"/>
        </w:tabs>
        <w:ind w:left="720"/>
      </w:pPr>
      <w:r>
        <w:t xml:space="preserve">General ledger </w:t>
      </w:r>
    </w:p>
    <w:p w14:paraId="2749D523" w14:textId="77777777" w:rsidR="00BF6F99" w:rsidRDefault="00BF6F99" w:rsidP="00690620">
      <w:pPr>
        <w:pStyle w:val="ListParagraph"/>
        <w:numPr>
          <w:ilvl w:val="1"/>
          <w:numId w:val="22"/>
        </w:numPr>
        <w:tabs>
          <w:tab w:val="left" w:pos="720"/>
        </w:tabs>
        <w:ind w:left="720"/>
      </w:pPr>
      <w:r>
        <w:t>Sample of payable and receivable source documentation</w:t>
      </w:r>
    </w:p>
    <w:p w14:paraId="568273B5" w14:textId="77777777" w:rsidR="00BF6F99" w:rsidRDefault="00BF6F99" w:rsidP="00690620">
      <w:pPr>
        <w:pStyle w:val="ListParagraph"/>
        <w:numPr>
          <w:ilvl w:val="1"/>
          <w:numId w:val="22"/>
        </w:numPr>
        <w:tabs>
          <w:tab w:val="left" w:pos="720"/>
        </w:tabs>
        <w:ind w:left="720"/>
      </w:pPr>
      <w:r>
        <w:t>Time keeping records</w:t>
      </w:r>
    </w:p>
    <w:p w14:paraId="659DD858" w14:textId="77777777" w:rsidR="00154E41" w:rsidRDefault="00154E41" w:rsidP="00A823BF">
      <w:pPr>
        <w:spacing w:after="0" w:line="240" w:lineRule="auto"/>
        <w:ind w:left="360"/>
        <w:contextualSpacing/>
      </w:pPr>
    </w:p>
    <w:p w14:paraId="73818FE4" w14:textId="77777777" w:rsidR="00154E41" w:rsidRPr="00A46F17" w:rsidRDefault="00154E41" w:rsidP="00A823BF">
      <w:pPr>
        <w:spacing w:after="0" w:line="240" w:lineRule="auto"/>
        <w:contextualSpacing/>
      </w:pPr>
      <w:r w:rsidRPr="00A46F17">
        <w:t xml:space="preserve">After </w:t>
      </w:r>
      <w:r>
        <w:t>reviewing</w:t>
      </w:r>
      <w:r w:rsidRPr="00A46F17">
        <w:t xml:space="preserve"> the risk assessment</w:t>
      </w:r>
      <w:r w:rsidR="00D45952">
        <w:t xml:space="preserve"> and any other requested documentation</w:t>
      </w:r>
      <w:r w:rsidRPr="00A46F17">
        <w:t xml:space="preserve">, the subrecipient will be rated low, medium, high, or extremely high risk. </w:t>
      </w:r>
    </w:p>
    <w:p w14:paraId="4C7A1B8F" w14:textId="77777777" w:rsidR="00154E41" w:rsidRPr="00A46F17" w:rsidRDefault="00154E41" w:rsidP="00A823BF">
      <w:pPr>
        <w:spacing w:after="0" w:line="240" w:lineRule="auto"/>
        <w:contextualSpacing/>
      </w:pPr>
    </w:p>
    <w:p w14:paraId="03800F00" w14:textId="77777777" w:rsidR="007D79FB" w:rsidRDefault="00154E41" w:rsidP="00A823BF">
      <w:pPr>
        <w:spacing w:after="0" w:line="240" w:lineRule="auto"/>
        <w:contextualSpacing/>
      </w:pPr>
      <w:r w:rsidRPr="00A46F17">
        <w:t>Once the scoring is completed, a follow-up or final letter will be written. The letter will be sent to the program administrator and subrecipient.</w:t>
      </w:r>
    </w:p>
    <w:p w14:paraId="62CC2281" w14:textId="77777777" w:rsidR="00E2651B" w:rsidRDefault="00E2651B" w:rsidP="00A823BF">
      <w:pPr>
        <w:contextualSpacing/>
        <w:rPr>
          <w:b/>
          <w:sz w:val="24"/>
          <w:szCs w:val="24"/>
          <w:u w:val="single"/>
        </w:rPr>
      </w:pPr>
    </w:p>
    <w:p w14:paraId="4C548ED9" w14:textId="77777777" w:rsidR="00261FC6" w:rsidRDefault="00A646E4" w:rsidP="00A823BF">
      <w:pPr>
        <w:contextualSpacing/>
        <w:rPr>
          <w:b/>
          <w:sz w:val="24"/>
          <w:szCs w:val="24"/>
          <w:u w:val="single"/>
        </w:rPr>
      </w:pPr>
      <w:r w:rsidRPr="00241783">
        <w:rPr>
          <w:b/>
          <w:sz w:val="24"/>
          <w:szCs w:val="24"/>
          <w:u w:val="single"/>
        </w:rPr>
        <w:t>Ongoing Monitoring</w:t>
      </w:r>
    </w:p>
    <w:p w14:paraId="62F8E875" w14:textId="77777777" w:rsidR="00D45952" w:rsidRPr="00D45952" w:rsidRDefault="00D45952" w:rsidP="00A823BF">
      <w:pPr>
        <w:contextualSpacing/>
      </w:pPr>
      <w:r w:rsidRPr="00D45952">
        <w:t xml:space="preserve">The audits staff </w:t>
      </w:r>
      <w:r>
        <w:t xml:space="preserve">reviews all invoices prior to payment. </w:t>
      </w:r>
      <w:r w:rsidR="00261FC6">
        <w:t xml:space="preserve">Monitoring may include but is not limited to: </w:t>
      </w:r>
    </w:p>
    <w:p w14:paraId="01FAB13E" w14:textId="77777777" w:rsidR="00BF6F99" w:rsidRDefault="00BF6F99" w:rsidP="00690620">
      <w:pPr>
        <w:pStyle w:val="ListParagraph"/>
        <w:numPr>
          <w:ilvl w:val="0"/>
          <w:numId w:val="20"/>
        </w:numPr>
        <w:spacing w:after="0"/>
      </w:pPr>
      <w:r>
        <w:t>Review i</w:t>
      </w:r>
      <w:r w:rsidR="00A646E4">
        <w:t xml:space="preserve">nvoices and supporting documentation by </w:t>
      </w:r>
      <w:r>
        <w:t>audit</w:t>
      </w:r>
      <w:r w:rsidR="00A646E4">
        <w:t xml:space="preserve"> staff. </w:t>
      </w:r>
    </w:p>
    <w:p w14:paraId="096E37BF" w14:textId="77777777" w:rsidR="00A646E4" w:rsidRDefault="00A646E4" w:rsidP="00690620">
      <w:pPr>
        <w:pStyle w:val="ListParagraph"/>
        <w:numPr>
          <w:ilvl w:val="0"/>
          <w:numId w:val="20"/>
        </w:numPr>
        <w:spacing w:after="0"/>
      </w:pPr>
      <w:r>
        <w:t xml:space="preserve">Ensure costs claimed are allowable </w:t>
      </w:r>
    </w:p>
    <w:p w14:paraId="645D51E9" w14:textId="77777777" w:rsidR="00A646E4" w:rsidRDefault="00A646E4" w:rsidP="00690620">
      <w:pPr>
        <w:pStyle w:val="ListParagraph"/>
        <w:numPr>
          <w:ilvl w:val="2"/>
          <w:numId w:val="24"/>
        </w:numPr>
        <w:spacing w:after="0"/>
        <w:ind w:left="1440"/>
      </w:pPr>
      <w:r>
        <w:t xml:space="preserve">Necessary and reasonable for the performance of both the subrecipient agreement and the Federal award </w:t>
      </w:r>
    </w:p>
    <w:p w14:paraId="6B1C38F7" w14:textId="77777777" w:rsidR="00A646E4" w:rsidRDefault="00A646E4" w:rsidP="00690620">
      <w:pPr>
        <w:pStyle w:val="ListParagraph"/>
        <w:numPr>
          <w:ilvl w:val="2"/>
          <w:numId w:val="24"/>
        </w:numPr>
        <w:spacing w:after="0"/>
        <w:ind w:left="1440"/>
      </w:pPr>
      <w:r>
        <w:t xml:space="preserve">Meet the requirements of the Uniform Guidance and the Federal award </w:t>
      </w:r>
    </w:p>
    <w:p w14:paraId="34C24AC6" w14:textId="77777777" w:rsidR="00A646E4" w:rsidRDefault="00A646E4" w:rsidP="00690620">
      <w:pPr>
        <w:pStyle w:val="ListParagraph"/>
        <w:numPr>
          <w:ilvl w:val="2"/>
          <w:numId w:val="24"/>
        </w:numPr>
        <w:spacing w:after="0"/>
        <w:ind w:left="1440"/>
      </w:pPr>
      <w:r>
        <w:t>Are not used to meet cost sharing or matching requirements of any other federally financed program.</w:t>
      </w:r>
    </w:p>
    <w:p w14:paraId="1CBB6F44" w14:textId="77777777" w:rsidR="00A646E4" w:rsidRDefault="00A646E4" w:rsidP="00690620">
      <w:pPr>
        <w:pStyle w:val="ListParagraph"/>
        <w:numPr>
          <w:ilvl w:val="2"/>
          <w:numId w:val="24"/>
        </w:numPr>
        <w:spacing w:after="0"/>
        <w:ind w:left="1440"/>
      </w:pPr>
      <w:r>
        <w:t>Ordinary and necessary for operation or performance.</w:t>
      </w:r>
    </w:p>
    <w:p w14:paraId="5DA8354E" w14:textId="77777777" w:rsidR="00A646E4" w:rsidRDefault="00A646E4" w:rsidP="00690620">
      <w:pPr>
        <w:pStyle w:val="ListParagraph"/>
        <w:numPr>
          <w:ilvl w:val="2"/>
          <w:numId w:val="24"/>
        </w:numPr>
        <w:spacing w:after="0"/>
        <w:ind w:left="1440"/>
      </w:pPr>
      <w:r>
        <w:t>Goods or services involved can be assigned to a specific project or cost objective.</w:t>
      </w:r>
    </w:p>
    <w:p w14:paraId="1911D49E" w14:textId="77777777" w:rsidR="00A646E4" w:rsidRDefault="00A646E4" w:rsidP="00690620">
      <w:pPr>
        <w:pStyle w:val="ListParagraph"/>
        <w:numPr>
          <w:ilvl w:val="2"/>
          <w:numId w:val="24"/>
        </w:numPr>
        <w:spacing w:after="0"/>
        <w:ind w:left="1440"/>
      </w:pPr>
      <w:r>
        <w:lastRenderedPageBreak/>
        <w:t>Represent actual costs and not budgeted or projected amounts.</w:t>
      </w:r>
    </w:p>
    <w:p w14:paraId="5C167EB9" w14:textId="77777777" w:rsidR="00D45952" w:rsidRDefault="00D45952" w:rsidP="00690620">
      <w:pPr>
        <w:pStyle w:val="ListParagraph"/>
        <w:numPr>
          <w:ilvl w:val="2"/>
          <w:numId w:val="24"/>
        </w:numPr>
        <w:spacing w:after="0"/>
        <w:ind w:left="1440"/>
      </w:pPr>
      <w:r>
        <w:t>Meet the terms of agreement.</w:t>
      </w:r>
    </w:p>
    <w:p w14:paraId="66086A6D" w14:textId="77777777" w:rsidR="00D45952" w:rsidRDefault="00D45952" w:rsidP="00690620">
      <w:pPr>
        <w:pStyle w:val="ListParagraph"/>
        <w:numPr>
          <w:ilvl w:val="2"/>
          <w:numId w:val="24"/>
        </w:numPr>
        <w:spacing w:after="0"/>
        <w:ind w:left="1440"/>
      </w:pPr>
      <w:r>
        <w:t>Do not overspend contract funds.</w:t>
      </w:r>
    </w:p>
    <w:p w14:paraId="6BE7D506" w14:textId="77777777" w:rsidR="00A646E4" w:rsidRDefault="00A646E4" w:rsidP="00A823BF">
      <w:pPr>
        <w:spacing w:after="0"/>
        <w:contextualSpacing/>
      </w:pPr>
    </w:p>
    <w:p w14:paraId="37E449EE" w14:textId="77777777" w:rsidR="00261FC6" w:rsidRDefault="00A646E4" w:rsidP="00A823BF">
      <w:pPr>
        <w:contextualSpacing/>
        <w:rPr>
          <w:b/>
          <w:sz w:val="24"/>
          <w:szCs w:val="24"/>
          <w:u w:val="single"/>
        </w:rPr>
      </w:pPr>
      <w:r w:rsidRPr="00241783">
        <w:rPr>
          <w:b/>
          <w:sz w:val="24"/>
          <w:szCs w:val="24"/>
          <w:u w:val="single"/>
        </w:rPr>
        <w:t>Desk Review (off-site) Monitoring</w:t>
      </w:r>
    </w:p>
    <w:p w14:paraId="4BF507F3" w14:textId="77777777" w:rsidR="00987F8B" w:rsidRDefault="00A646E4" w:rsidP="00A823BF">
      <w:pPr>
        <w:contextualSpacing/>
      </w:pPr>
      <w:r>
        <w:t>Desk Review</w:t>
      </w:r>
      <w:r w:rsidR="00987F8B">
        <w:t>s may be done on any subrecipient that does not receive a Single Audit or CPA Audit.</w:t>
      </w:r>
      <w:r>
        <w:t xml:space="preserve"> </w:t>
      </w:r>
      <w:r w:rsidR="00987F8B">
        <w:t>They will be done on a rotation agreed upon by Audits and the Program Office.</w:t>
      </w:r>
    </w:p>
    <w:p w14:paraId="123EE2FA" w14:textId="77777777" w:rsidR="00261FC6" w:rsidRDefault="00261FC6" w:rsidP="00A823BF">
      <w:pPr>
        <w:contextualSpacing/>
      </w:pPr>
    </w:p>
    <w:p w14:paraId="1196414D" w14:textId="77777777" w:rsidR="00A646E4" w:rsidRDefault="00987F8B" w:rsidP="00A823BF">
      <w:pPr>
        <w:contextualSpacing/>
      </w:pPr>
      <w:r>
        <w:t>M</w:t>
      </w:r>
      <w:r w:rsidR="00A646E4">
        <w:t>onitoring may</w:t>
      </w:r>
      <w:r>
        <w:t xml:space="preserve"> include</w:t>
      </w:r>
      <w:r w:rsidR="00D45952">
        <w:t xml:space="preserve"> but is not limited to</w:t>
      </w:r>
      <w:r>
        <w:t xml:space="preserve"> the following:</w:t>
      </w:r>
    </w:p>
    <w:p w14:paraId="4C53EE74" w14:textId="77777777" w:rsidR="00A646E4" w:rsidRDefault="00A646E4" w:rsidP="00690620">
      <w:pPr>
        <w:pStyle w:val="ListParagraph"/>
        <w:numPr>
          <w:ilvl w:val="0"/>
          <w:numId w:val="25"/>
        </w:numPr>
      </w:pPr>
      <w:r>
        <w:t>Pre-Monitoring work</w:t>
      </w:r>
    </w:p>
    <w:p w14:paraId="4AEFBCEB" w14:textId="77777777" w:rsidR="00A646E4" w:rsidRDefault="00BF6F99" w:rsidP="00690620">
      <w:pPr>
        <w:pStyle w:val="ListParagraph"/>
        <w:numPr>
          <w:ilvl w:val="1"/>
          <w:numId w:val="19"/>
        </w:numPr>
      </w:pPr>
      <w:r>
        <w:t>A</w:t>
      </w:r>
      <w:r w:rsidR="00A646E4">
        <w:t xml:space="preserve"> copy of the subrecipient agreement </w:t>
      </w:r>
      <w:r>
        <w:t xml:space="preserve">is </w:t>
      </w:r>
      <w:r w:rsidR="00A646E4">
        <w:t xml:space="preserve">on </w:t>
      </w:r>
      <w:r>
        <w:t>F</w:t>
      </w:r>
      <w:r w:rsidR="00A646E4">
        <w:t>ile</w:t>
      </w:r>
      <w:r>
        <w:t xml:space="preserve"> Director, if needed</w:t>
      </w:r>
      <w:r w:rsidR="00A646E4">
        <w:t>.</w:t>
      </w:r>
    </w:p>
    <w:p w14:paraId="6A2F68F9" w14:textId="77777777" w:rsidR="00A646E4" w:rsidRDefault="00A646E4" w:rsidP="00690620">
      <w:pPr>
        <w:pStyle w:val="ListParagraph"/>
        <w:numPr>
          <w:ilvl w:val="1"/>
          <w:numId w:val="19"/>
        </w:numPr>
      </w:pPr>
      <w:r>
        <w:t>Obtain copies of items collected</w:t>
      </w:r>
      <w:r w:rsidR="00BF6F99">
        <w:t xml:space="preserve"> in ongoing monitoring, such as</w:t>
      </w:r>
      <w:r>
        <w:t xml:space="preserve"> vouchers, invoices, monthly reports, and other back-up documentation for payments made to the subrecipient.</w:t>
      </w:r>
    </w:p>
    <w:p w14:paraId="37DAFDFC" w14:textId="77777777" w:rsidR="00A646E4" w:rsidRDefault="00A646E4" w:rsidP="00690620">
      <w:pPr>
        <w:pStyle w:val="ListParagraph"/>
        <w:numPr>
          <w:ilvl w:val="1"/>
          <w:numId w:val="19"/>
        </w:numPr>
      </w:pPr>
      <w:r>
        <w:t xml:space="preserve">Notify the subrecipient of the upcoming desk review.  </w:t>
      </w:r>
    </w:p>
    <w:p w14:paraId="674E8B1B" w14:textId="77777777" w:rsidR="00A646E4" w:rsidRDefault="00A646E4" w:rsidP="00A823BF">
      <w:pPr>
        <w:pStyle w:val="ListParagraph"/>
        <w:ind w:left="2160"/>
      </w:pPr>
      <w:r>
        <w:t>Data collected could include but not limited to:</w:t>
      </w:r>
    </w:p>
    <w:p w14:paraId="4B3B6D7D" w14:textId="77777777" w:rsidR="00A646E4" w:rsidRDefault="00A646E4" w:rsidP="00690620">
      <w:pPr>
        <w:pStyle w:val="ListParagraph"/>
        <w:numPr>
          <w:ilvl w:val="0"/>
          <w:numId w:val="26"/>
        </w:numPr>
        <w:ind w:left="2610"/>
      </w:pPr>
      <w:r>
        <w:t>Sample general ledger information</w:t>
      </w:r>
    </w:p>
    <w:p w14:paraId="41E436B7" w14:textId="77777777" w:rsidR="00A646E4" w:rsidRDefault="00A646E4" w:rsidP="00690620">
      <w:pPr>
        <w:pStyle w:val="ListParagraph"/>
        <w:numPr>
          <w:ilvl w:val="0"/>
          <w:numId w:val="26"/>
        </w:numPr>
        <w:ind w:left="2610"/>
      </w:pPr>
      <w:r>
        <w:t>List of all transactions for the current agreement or invoicing period</w:t>
      </w:r>
    </w:p>
    <w:p w14:paraId="6B13F04E" w14:textId="77777777" w:rsidR="00A646E4" w:rsidRDefault="00A646E4" w:rsidP="00690620">
      <w:pPr>
        <w:pStyle w:val="ListParagraph"/>
        <w:numPr>
          <w:ilvl w:val="0"/>
          <w:numId w:val="26"/>
        </w:numPr>
        <w:ind w:left="2610"/>
      </w:pPr>
      <w:r>
        <w:t>Select sample transactions and review source documentation</w:t>
      </w:r>
    </w:p>
    <w:p w14:paraId="76F6DAC4" w14:textId="77777777" w:rsidR="00BF6F99" w:rsidRDefault="00BF6F99" w:rsidP="00690620">
      <w:pPr>
        <w:pStyle w:val="ListParagraph"/>
        <w:numPr>
          <w:ilvl w:val="0"/>
          <w:numId w:val="26"/>
        </w:numPr>
        <w:ind w:left="2610"/>
      </w:pPr>
      <w:r>
        <w:t>Vouchers, invoices, and back-up documentation</w:t>
      </w:r>
    </w:p>
    <w:p w14:paraId="773389E9" w14:textId="77777777" w:rsidR="00A646E4" w:rsidRDefault="00A646E4" w:rsidP="00690620">
      <w:pPr>
        <w:pStyle w:val="ListParagraph"/>
        <w:numPr>
          <w:ilvl w:val="0"/>
          <w:numId w:val="26"/>
        </w:numPr>
        <w:ind w:left="2610"/>
      </w:pPr>
      <w:r>
        <w:t xml:space="preserve">Sample of time keeping records and methods of recording time across multiple federal awards. </w:t>
      </w:r>
    </w:p>
    <w:p w14:paraId="0F3EA177" w14:textId="77777777" w:rsidR="00A646E4" w:rsidRDefault="00A646E4" w:rsidP="00690620">
      <w:pPr>
        <w:pStyle w:val="ListParagraph"/>
        <w:numPr>
          <w:ilvl w:val="0"/>
          <w:numId w:val="26"/>
        </w:numPr>
        <w:ind w:left="2610"/>
      </w:pPr>
      <w:r>
        <w:t xml:space="preserve">Plan, data, or documentation on how the subrecipient is carrying out the program objectives of the agreement. </w:t>
      </w:r>
    </w:p>
    <w:p w14:paraId="70C50268" w14:textId="77777777" w:rsidR="00A646E4" w:rsidRDefault="00A646E4" w:rsidP="00690620">
      <w:pPr>
        <w:pStyle w:val="ListParagraph"/>
        <w:numPr>
          <w:ilvl w:val="0"/>
          <w:numId w:val="26"/>
        </w:numPr>
        <w:ind w:left="2610"/>
      </w:pPr>
      <w:r>
        <w:t xml:space="preserve">If they met the requirement for a single audit, review single audit information.  If they didn’t meet the requirement of a single audit, however obtained an independent audit or financial review, then review that information.  </w:t>
      </w:r>
    </w:p>
    <w:p w14:paraId="50FA481E" w14:textId="77777777" w:rsidR="00A646E4" w:rsidRDefault="00A646E4" w:rsidP="00690620">
      <w:pPr>
        <w:pStyle w:val="ListParagraph"/>
        <w:numPr>
          <w:ilvl w:val="0"/>
          <w:numId w:val="19"/>
        </w:numPr>
      </w:pPr>
      <w:r>
        <w:t>Monitoring Review of information collected</w:t>
      </w:r>
    </w:p>
    <w:p w14:paraId="2CAD75F3" w14:textId="77777777" w:rsidR="00A646E4" w:rsidRDefault="00BF6F99" w:rsidP="00690620">
      <w:pPr>
        <w:pStyle w:val="ListParagraph"/>
        <w:numPr>
          <w:ilvl w:val="1"/>
          <w:numId w:val="19"/>
        </w:numPr>
      </w:pPr>
      <w:r>
        <w:t>Review the information provided</w:t>
      </w:r>
      <w:r w:rsidR="00A646E4">
        <w:t xml:space="preserve">.  </w:t>
      </w:r>
    </w:p>
    <w:p w14:paraId="1592B6F5" w14:textId="77777777" w:rsidR="00A646E4" w:rsidRDefault="00A646E4" w:rsidP="00690620">
      <w:pPr>
        <w:pStyle w:val="ListParagraph"/>
        <w:numPr>
          <w:ilvl w:val="1"/>
          <w:numId w:val="19"/>
        </w:numPr>
      </w:pPr>
      <w:r>
        <w:t>State agency will follow up with the subrecipient for:</w:t>
      </w:r>
    </w:p>
    <w:p w14:paraId="38819A03" w14:textId="77777777" w:rsidR="00A646E4" w:rsidRDefault="00A646E4" w:rsidP="00690620">
      <w:pPr>
        <w:pStyle w:val="ListParagraph"/>
        <w:numPr>
          <w:ilvl w:val="2"/>
          <w:numId w:val="27"/>
        </w:numPr>
        <w:ind w:left="2610" w:hanging="360"/>
      </w:pPr>
      <w:r>
        <w:t>Missing information originally requested</w:t>
      </w:r>
    </w:p>
    <w:p w14:paraId="5EFE4A17" w14:textId="77777777" w:rsidR="00A646E4" w:rsidRDefault="00A646E4" w:rsidP="00690620">
      <w:pPr>
        <w:pStyle w:val="ListParagraph"/>
        <w:numPr>
          <w:ilvl w:val="2"/>
          <w:numId w:val="27"/>
        </w:numPr>
        <w:ind w:left="2610" w:hanging="360"/>
      </w:pPr>
      <w:r>
        <w:t>Explanations for areas where the state agency is unclear about what the subrecipient provided</w:t>
      </w:r>
    </w:p>
    <w:p w14:paraId="5C6D4EDD" w14:textId="77777777" w:rsidR="00A646E4" w:rsidRDefault="00A646E4" w:rsidP="00690620">
      <w:pPr>
        <w:pStyle w:val="ListParagraph"/>
        <w:numPr>
          <w:ilvl w:val="2"/>
          <w:numId w:val="27"/>
        </w:numPr>
        <w:ind w:left="2610" w:hanging="360"/>
      </w:pPr>
      <w:r>
        <w:t>Additional items needed as a result of the review.</w:t>
      </w:r>
    </w:p>
    <w:p w14:paraId="68774D73" w14:textId="77777777" w:rsidR="00A646E4" w:rsidRDefault="00A646E4" w:rsidP="00690620">
      <w:pPr>
        <w:pStyle w:val="ListParagraph"/>
        <w:numPr>
          <w:ilvl w:val="1"/>
          <w:numId w:val="19"/>
        </w:numPr>
      </w:pPr>
      <w:r>
        <w:t>Collect second requested items</w:t>
      </w:r>
    </w:p>
    <w:p w14:paraId="43E31476" w14:textId="77777777" w:rsidR="00A646E4" w:rsidRDefault="00A646E4" w:rsidP="00690620">
      <w:pPr>
        <w:pStyle w:val="ListParagraph"/>
        <w:numPr>
          <w:ilvl w:val="1"/>
          <w:numId w:val="19"/>
        </w:numPr>
      </w:pPr>
      <w:r>
        <w:t xml:space="preserve">Steps should be repeated until </w:t>
      </w:r>
      <w:r w:rsidR="00BF6F99">
        <w:t>Audits</w:t>
      </w:r>
      <w:r>
        <w:t xml:space="preserve"> feels all information has been collected and thoroughly reviewed.</w:t>
      </w:r>
    </w:p>
    <w:p w14:paraId="7994CAFB" w14:textId="77777777" w:rsidR="00A646E4" w:rsidRDefault="00A646E4" w:rsidP="00690620">
      <w:pPr>
        <w:pStyle w:val="ListParagraph"/>
        <w:numPr>
          <w:ilvl w:val="0"/>
          <w:numId w:val="19"/>
        </w:numPr>
      </w:pPr>
      <w:r>
        <w:t>Final Analysis</w:t>
      </w:r>
    </w:p>
    <w:p w14:paraId="5C3BF066" w14:textId="77777777" w:rsidR="00A646E4" w:rsidRDefault="00A646E4" w:rsidP="00690620">
      <w:pPr>
        <w:pStyle w:val="ListParagraph"/>
        <w:numPr>
          <w:ilvl w:val="1"/>
          <w:numId w:val="19"/>
        </w:numPr>
        <w:tabs>
          <w:tab w:val="left" w:pos="1440"/>
        </w:tabs>
      </w:pPr>
      <w:r>
        <w:t xml:space="preserve">Upon completion of the desk review, </w:t>
      </w:r>
      <w:r w:rsidR="00BF6F99">
        <w:t>Audits</w:t>
      </w:r>
      <w:r>
        <w:t xml:space="preserve"> </w:t>
      </w:r>
      <w:r w:rsidR="00BF6F99">
        <w:t>will:</w:t>
      </w:r>
    </w:p>
    <w:p w14:paraId="02826495" w14:textId="77777777" w:rsidR="00A646E4" w:rsidRDefault="00A646E4" w:rsidP="00690620">
      <w:pPr>
        <w:pStyle w:val="ListParagraph"/>
        <w:numPr>
          <w:ilvl w:val="2"/>
          <w:numId w:val="28"/>
        </w:numPr>
        <w:ind w:left="2610" w:hanging="360"/>
      </w:pPr>
      <w:r>
        <w:t>Decide course of action to address any issues of non-compliance</w:t>
      </w:r>
    </w:p>
    <w:p w14:paraId="5F594E57" w14:textId="77777777" w:rsidR="00A646E4" w:rsidRDefault="00A646E4" w:rsidP="00690620">
      <w:pPr>
        <w:pStyle w:val="ListParagraph"/>
        <w:numPr>
          <w:ilvl w:val="2"/>
          <w:numId w:val="28"/>
        </w:numPr>
        <w:ind w:left="2610" w:hanging="360"/>
      </w:pPr>
      <w:r>
        <w:lastRenderedPageBreak/>
        <w:t>Decide on additional monitoring, if needed</w:t>
      </w:r>
    </w:p>
    <w:p w14:paraId="001F51E1" w14:textId="77777777" w:rsidR="00A646E4" w:rsidRDefault="00A646E4" w:rsidP="00690620">
      <w:pPr>
        <w:pStyle w:val="ListParagraph"/>
        <w:numPr>
          <w:ilvl w:val="2"/>
          <w:numId w:val="28"/>
        </w:numPr>
        <w:ind w:left="2610" w:hanging="360"/>
      </w:pPr>
      <w:r>
        <w:t xml:space="preserve">Management decisions may be issued for audit findings </w:t>
      </w:r>
    </w:p>
    <w:p w14:paraId="4C94C8EE" w14:textId="77777777" w:rsidR="00A646E4" w:rsidRDefault="00A646E4" w:rsidP="00690620">
      <w:pPr>
        <w:pStyle w:val="ListParagraph"/>
        <w:numPr>
          <w:ilvl w:val="2"/>
          <w:numId w:val="28"/>
        </w:numPr>
        <w:ind w:left="2610" w:hanging="360"/>
      </w:pPr>
      <w:r>
        <w:t>Consider whether the state agencies records or financial reports need to be adjusted.</w:t>
      </w:r>
    </w:p>
    <w:p w14:paraId="02ED220A" w14:textId="77777777" w:rsidR="00A646E4" w:rsidRDefault="00A646E4" w:rsidP="00690620">
      <w:pPr>
        <w:pStyle w:val="ListParagraph"/>
        <w:numPr>
          <w:ilvl w:val="1"/>
          <w:numId w:val="19"/>
        </w:numPr>
      </w:pPr>
      <w:r>
        <w:t xml:space="preserve">Send the subrecipient notice the monitoring has been completed.  </w:t>
      </w:r>
    </w:p>
    <w:p w14:paraId="5E3F97BF" w14:textId="77777777" w:rsidR="00A646E4" w:rsidRDefault="00A646E4" w:rsidP="00690620">
      <w:pPr>
        <w:pStyle w:val="ListParagraph"/>
        <w:numPr>
          <w:ilvl w:val="2"/>
          <w:numId w:val="29"/>
        </w:numPr>
        <w:ind w:left="2610" w:hanging="360"/>
      </w:pPr>
      <w:r>
        <w:t>Include corrective action plan for areas of noncompliance</w:t>
      </w:r>
      <w:r w:rsidR="00154E41">
        <w:t>, if applicable.</w:t>
      </w:r>
    </w:p>
    <w:p w14:paraId="48AD6A7B" w14:textId="77777777" w:rsidR="00A646E4" w:rsidRDefault="00A646E4" w:rsidP="00690620">
      <w:pPr>
        <w:pStyle w:val="ListParagraph"/>
        <w:numPr>
          <w:ilvl w:val="2"/>
          <w:numId w:val="29"/>
        </w:numPr>
        <w:ind w:left="2610" w:hanging="360"/>
      </w:pPr>
      <w:r>
        <w:t>Include recommendations for areas where performance can be improved</w:t>
      </w:r>
    </w:p>
    <w:p w14:paraId="3FDAD756" w14:textId="77777777" w:rsidR="00A646E4" w:rsidRDefault="00A646E4" w:rsidP="00690620">
      <w:pPr>
        <w:pStyle w:val="ListParagraph"/>
        <w:numPr>
          <w:ilvl w:val="2"/>
          <w:numId w:val="29"/>
        </w:numPr>
        <w:ind w:left="2610" w:hanging="360"/>
      </w:pPr>
      <w:r>
        <w:t>Communicate additional monitoring planned, if applicable.</w:t>
      </w:r>
    </w:p>
    <w:p w14:paraId="4983D23D" w14:textId="77777777" w:rsidR="00391825" w:rsidRPr="00A46F17" w:rsidRDefault="00A646E4" w:rsidP="00690620">
      <w:pPr>
        <w:pStyle w:val="ListParagraph"/>
        <w:numPr>
          <w:ilvl w:val="1"/>
          <w:numId w:val="19"/>
        </w:numPr>
      </w:pPr>
      <w:r>
        <w:t xml:space="preserve">Assemble a monitoring file and compile all documentation for the monitoring visit and retain in accordance with the state/federal guidance on records retention.  </w:t>
      </w:r>
    </w:p>
    <w:p w14:paraId="61253963" w14:textId="77777777" w:rsidR="00156FA7" w:rsidRDefault="00623C14" w:rsidP="00A823BF">
      <w:pPr>
        <w:spacing w:before="100" w:beforeAutospacing="1" w:after="100" w:afterAutospacing="1" w:line="240" w:lineRule="auto"/>
        <w:contextualSpacing/>
        <w:rPr>
          <w:rFonts w:eastAsia="Times New Roman" w:cs="Arial"/>
          <w:b/>
          <w:bCs/>
          <w:sz w:val="28"/>
          <w:szCs w:val="28"/>
          <w:lang w:val="en"/>
        </w:rPr>
      </w:pPr>
      <w:bookmarkStart w:id="0" w:name="_Hlk45697957"/>
      <w:r>
        <w:rPr>
          <w:rFonts w:eastAsia="Times New Roman" w:cs="Arial"/>
          <w:b/>
          <w:bCs/>
          <w:sz w:val="28"/>
          <w:szCs w:val="28"/>
          <w:lang w:val="en"/>
        </w:rPr>
        <w:t>IX</w:t>
      </w:r>
      <w:r w:rsidR="00F2658A" w:rsidRPr="00A46F17">
        <w:rPr>
          <w:rFonts w:eastAsia="Times New Roman" w:cs="Arial"/>
          <w:b/>
          <w:bCs/>
          <w:sz w:val="28"/>
          <w:szCs w:val="28"/>
          <w:lang w:val="en"/>
        </w:rPr>
        <w:t xml:space="preserve">. </w:t>
      </w:r>
      <w:r w:rsidR="00BC7518">
        <w:rPr>
          <w:rFonts w:eastAsia="Times New Roman" w:cs="Arial"/>
          <w:b/>
          <w:bCs/>
          <w:sz w:val="28"/>
          <w:szCs w:val="28"/>
          <w:lang w:val="en"/>
        </w:rPr>
        <w:t xml:space="preserve">Single Audit </w:t>
      </w:r>
      <w:r w:rsidR="00756B7D">
        <w:rPr>
          <w:rFonts w:eastAsia="Times New Roman" w:cs="Arial"/>
          <w:b/>
          <w:bCs/>
          <w:sz w:val="28"/>
          <w:szCs w:val="28"/>
          <w:lang w:val="en"/>
        </w:rPr>
        <w:t xml:space="preserve">Management Decision </w:t>
      </w:r>
      <w:r w:rsidR="00BC7518">
        <w:rPr>
          <w:rFonts w:eastAsia="Times New Roman" w:cs="Arial"/>
          <w:b/>
          <w:bCs/>
          <w:sz w:val="28"/>
          <w:szCs w:val="28"/>
          <w:lang w:val="en"/>
        </w:rPr>
        <w:t>Process</w:t>
      </w:r>
    </w:p>
    <w:p w14:paraId="6C1772E3" w14:textId="77777777" w:rsidR="00BC7518" w:rsidRDefault="00BC7518" w:rsidP="00A823BF">
      <w:pPr>
        <w:spacing w:before="100" w:beforeAutospacing="1" w:after="100" w:afterAutospacing="1" w:line="240" w:lineRule="auto"/>
        <w:contextualSpacing/>
        <w:rPr>
          <w:rFonts w:eastAsia="Times New Roman" w:cs="Arial"/>
          <w:b/>
          <w:bCs/>
          <w:sz w:val="28"/>
          <w:szCs w:val="28"/>
          <w:lang w:val="en"/>
        </w:rPr>
      </w:pPr>
    </w:p>
    <w:p w14:paraId="5A9F6C31" w14:textId="77777777" w:rsidR="00BC7518" w:rsidRDefault="00BC7518" w:rsidP="00A823BF">
      <w:pPr>
        <w:spacing w:before="100" w:beforeAutospacing="1" w:after="100" w:afterAutospacing="1" w:line="240" w:lineRule="auto"/>
        <w:contextualSpacing/>
        <w:rPr>
          <w:rFonts w:ascii="Calibri" w:hAnsi="Calibri" w:cs="Calibri"/>
        </w:rPr>
      </w:pPr>
      <w:r w:rsidRPr="006243FB">
        <w:rPr>
          <w:rFonts w:ascii="Calibri" w:hAnsi="Calibri" w:cs="Calibri"/>
        </w:rPr>
        <w:t>OMB Uniform Guidance 2 CFR §200.521 requires that a management decision</w:t>
      </w:r>
      <w:r w:rsidR="00580061">
        <w:rPr>
          <w:rFonts w:ascii="Calibri" w:hAnsi="Calibri" w:cs="Calibri"/>
        </w:rPr>
        <w:t xml:space="preserve"> letter</w:t>
      </w:r>
      <w:r w:rsidRPr="006243FB">
        <w:rPr>
          <w:rFonts w:ascii="Calibri" w:hAnsi="Calibri" w:cs="Calibri"/>
        </w:rPr>
        <w:t xml:space="preserve"> is issued within six months of acceptance of the audit report by the Federal Audit Clearinghouse</w:t>
      </w:r>
      <w:r w:rsidR="00832F94">
        <w:rPr>
          <w:rFonts w:ascii="Calibri" w:hAnsi="Calibri" w:cs="Calibri"/>
        </w:rPr>
        <w:t xml:space="preserve"> if there are any program specific findings</w:t>
      </w:r>
      <w:r w:rsidRPr="006243FB">
        <w:rPr>
          <w:rFonts w:ascii="Calibri" w:hAnsi="Calibri" w:cs="Calibri"/>
        </w:rPr>
        <w:t>.</w:t>
      </w:r>
    </w:p>
    <w:p w14:paraId="31068C36" w14:textId="77777777" w:rsidR="00BC7518" w:rsidRPr="00BC7518" w:rsidRDefault="00BC7518" w:rsidP="00A823BF">
      <w:pPr>
        <w:spacing w:before="100" w:beforeAutospacing="1" w:after="100" w:afterAutospacing="1" w:line="240" w:lineRule="auto"/>
        <w:contextualSpacing/>
        <w:rPr>
          <w:rFonts w:eastAsia="Times New Roman" w:cs="Arial"/>
          <w:bCs/>
          <w:lang w:val="en"/>
        </w:rPr>
      </w:pPr>
    </w:p>
    <w:p w14:paraId="633DC97C" w14:textId="77777777" w:rsidR="00BC7518" w:rsidRDefault="00640F9C" w:rsidP="00A823BF">
      <w:pPr>
        <w:spacing w:before="100" w:beforeAutospacing="1" w:after="100" w:afterAutospacing="1" w:line="240" w:lineRule="auto"/>
        <w:contextualSpacing/>
        <w:rPr>
          <w:rFonts w:eastAsia="Times New Roman" w:cs="Arial"/>
          <w:bCs/>
          <w:lang w:val="en"/>
        </w:rPr>
      </w:pPr>
      <w:r>
        <w:rPr>
          <w:rFonts w:eastAsia="Times New Roman" w:cs="Arial"/>
          <w:bCs/>
          <w:lang w:val="en"/>
        </w:rPr>
        <w:t>W</w:t>
      </w:r>
      <w:r w:rsidR="00BC7518" w:rsidRPr="00BC7518">
        <w:rPr>
          <w:rFonts w:eastAsia="Times New Roman" w:cs="Arial"/>
          <w:bCs/>
          <w:lang w:val="en"/>
        </w:rPr>
        <w:t xml:space="preserve">hen a single audit </w:t>
      </w:r>
      <w:r w:rsidR="00580061">
        <w:rPr>
          <w:rFonts w:eastAsia="Times New Roman" w:cs="Arial"/>
          <w:bCs/>
          <w:lang w:val="en"/>
        </w:rPr>
        <w:t xml:space="preserve">letter </w:t>
      </w:r>
      <w:r w:rsidR="00BC7518" w:rsidRPr="00BC7518">
        <w:rPr>
          <w:rFonts w:eastAsia="Times New Roman" w:cs="Arial"/>
          <w:bCs/>
          <w:lang w:val="en"/>
        </w:rPr>
        <w:t>is received from Legislative Audit</w:t>
      </w:r>
      <w:r>
        <w:rPr>
          <w:rFonts w:eastAsia="Times New Roman" w:cs="Arial"/>
          <w:bCs/>
          <w:lang w:val="en"/>
        </w:rPr>
        <w:t>,</w:t>
      </w:r>
      <w:r w:rsidRPr="00640F9C">
        <w:rPr>
          <w:rFonts w:eastAsia="Times New Roman" w:cs="Arial"/>
          <w:bCs/>
          <w:lang w:val="en"/>
        </w:rPr>
        <w:t xml:space="preserve"> </w:t>
      </w:r>
      <w:r>
        <w:rPr>
          <w:rFonts w:eastAsia="Times New Roman" w:cs="Arial"/>
          <w:bCs/>
          <w:lang w:val="en"/>
        </w:rPr>
        <w:t>t</w:t>
      </w:r>
      <w:r w:rsidRPr="00BC7518">
        <w:rPr>
          <w:rFonts w:eastAsia="Times New Roman" w:cs="Arial"/>
          <w:bCs/>
          <w:lang w:val="en"/>
        </w:rPr>
        <w:t xml:space="preserve">he </w:t>
      </w:r>
      <w:r>
        <w:rPr>
          <w:rFonts w:eastAsia="Times New Roman" w:cs="Arial"/>
          <w:bCs/>
          <w:lang w:val="en"/>
        </w:rPr>
        <w:t xml:space="preserve">letter will be </w:t>
      </w:r>
      <w:r w:rsidRPr="00BC7518">
        <w:rPr>
          <w:rFonts w:eastAsia="Times New Roman" w:cs="Arial"/>
          <w:bCs/>
          <w:lang w:val="en"/>
        </w:rPr>
        <w:t>document</w:t>
      </w:r>
      <w:r>
        <w:rPr>
          <w:rFonts w:eastAsia="Times New Roman" w:cs="Arial"/>
          <w:bCs/>
          <w:lang w:val="en"/>
        </w:rPr>
        <w:t>ed</w:t>
      </w:r>
      <w:r w:rsidR="00BC7518" w:rsidRPr="00BC7518">
        <w:rPr>
          <w:rFonts w:eastAsia="Times New Roman" w:cs="Arial"/>
          <w:bCs/>
          <w:lang w:val="en"/>
        </w:rPr>
        <w:t xml:space="preserve"> in a tracking spreadsheet and</w:t>
      </w:r>
      <w:r>
        <w:rPr>
          <w:rFonts w:eastAsia="Times New Roman" w:cs="Arial"/>
          <w:bCs/>
          <w:lang w:val="en"/>
        </w:rPr>
        <w:t xml:space="preserve"> will indicate</w:t>
      </w:r>
      <w:r w:rsidR="00BC7518" w:rsidRPr="00BC7518">
        <w:rPr>
          <w:rFonts w:eastAsia="Times New Roman" w:cs="Arial"/>
          <w:bCs/>
          <w:lang w:val="en"/>
        </w:rPr>
        <w:t xml:space="preserve"> </w:t>
      </w:r>
      <w:r w:rsidR="00BC7518">
        <w:rPr>
          <w:rFonts w:eastAsia="Times New Roman" w:cs="Arial"/>
          <w:bCs/>
          <w:lang w:val="en"/>
        </w:rPr>
        <w:t>if</w:t>
      </w:r>
      <w:r w:rsidR="00BC7518" w:rsidRPr="00BC7518">
        <w:rPr>
          <w:rFonts w:eastAsia="Times New Roman" w:cs="Arial"/>
          <w:bCs/>
          <w:lang w:val="en"/>
        </w:rPr>
        <w:t xml:space="preserve"> further action is required.</w:t>
      </w:r>
      <w:r>
        <w:rPr>
          <w:rFonts w:eastAsia="Times New Roman" w:cs="Arial"/>
          <w:bCs/>
          <w:lang w:val="en"/>
        </w:rPr>
        <w:t xml:space="preserve"> If further action is required, the spreadsheet will be used to track and monitor resolution for all the audit findings.</w:t>
      </w:r>
    </w:p>
    <w:p w14:paraId="54677A07" w14:textId="77777777" w:rsidR="00BC7518" w:rsidRDefault="00BC7518" w:rsidP="00A823BF">
      <w:pPr>
        <w:spacing w:before="100" w:beforeAutospacing="1" w:after="100" w:afterAutospacing="1" w:line="240" w:lineRule="auto"/>
        <w:contextualSpacing/>
        <w:rPr>
          <w:rFonts w:eastAsia="Times New Roman" w:cs="Arial"/>
          <w:bCs/>
          <w:lang w:val="en"/>
        </w:rPr>
      </w:pPr>
    </w:p>
    <w:p w14:paraId="20C15289" w14:textId="77777777" w:rsidR="00832F94" w:rsidRDefault="00640F9C" w:rsidP="00A823BF">
      <w:pPr>
        <w:spacing w:before="100" w:beforeAutospacing="1" w:after="100" w:afterAutospacing="1" w:line="240" w:lineRule="auto"/>
        <w:contextualSpacing/>
        <w:rPr>
          <w:rFonts w:eastAsia="Times New Roman" w:cs="Arial"/>
          <w:bCs/>
          <w:lang w:val="en"/>
        </w:rPr>
      </w:pPr>
      <w:bookmarkStart w:id="1" w:name="_Hlk45698324"/>
      <w:r>
        <w:rPr>
          <w:rFonts w:eastAsia="Times New Roman" w:cs="Arial"/>
          <w:bCs/>
          <w:lang w:val="en"/>
        </w:rPr>
        <w:t>When</w:t>
      </w:r>
      <w:r w:rsidR="00BC7518">
        <w:rPr>
          <w:rFonts w:eastAsia="Times New Roman" w:cs="Arial"/>
          <w:bCs/>
          <w:lang w:val="en"/>
        </w:rPr>
        <w:t xml:space="preserve"> </w:t>
      </w:r>
      <w:r w:rsidR="00801292">
        <w:rPr>
          <w:rFonts w:eastAsia="Times New Roman" w:cs="Arial"/>
          <w:bCs/>
          <w:lang w:val="en"/>
        </w:rPr>
        <w:t>there are</w:t>
      </w:r>
      <w:r w:rsidR="00C01391">
        <w:rPr>
          <w:rFonts w:eastAsia="Times New Roman" w:cs="Arial"/>
          <w:bCs/>
          <w:lang w:val="en"/>
        </w:rPr>
        <w:t xml:space="preserve"> t</w:t>
      </w:r>
      <w:r w:rsidR="00801292">
        <w:rPr>
          <w:rFonts w:eastAsia="Times New Roman" w:cs="Arial"/>
          <w:bCs/>
          <w:lang w:val="en"/>
        </w:rPr>
        <w:t xml:space="preserve">ransportation </w:t>
      </w:r>
      <w:r w:rsidR="00C01391">
        <w:rPr>
          <w:rFonts w:eastAsia="Times New Roman" w:cs="Arial"/>
          <w:bCs/>
          <w:lang w:val="en"/>
        </w:rPr>
        <w:t>p</w:t>
      </w:r>
      <w:r w:rsidR="00801292">
        <w:rPr>
          <w:rFonts w:eastAsia="Times New Roman" w:cs="Arial"/>
          <w:bCs/>
          <w:lang w:val="en"/>
        </w:rPr>
        <w:t xml:space="preserve">rogram </w:t>
      </w:r>
      <w:r w:rsidR="00832F94">
        <w:rPr>
          <w:rFonts w:eastAsia="Times New Roman" w:cs="Arial"/>
          <w:bCs/>
          <w:lang w:val="en"/>
        </w:rPr>
        <w:t xml:space="preserve">specific </w:t>
      </w:r>
      <w:r w:rsidR="00801292">
        <w:rPr>
          <w:rFonts w:eastAsia="Times New Roman" w:cs="Arial"/>
          <w:bCs/>
          <w:lang w:val="en"/>
        </w:rPr>
        <w:t>findings</w:t>
      </w:r>
      <w:r w:rsidR="00832F94">
        <w:rPr>
          <w:rFonts w:eastAsia="Times New Roman" w:cs="Arial"/>
          <w:bCs/>
          <w:lang w:val="en"/>
        </w:rPr>
        <w:t>:</w:t>
      </w:r>
    </w:p>
    <w:p w14:paraId="33880C24" w14:textId="77777777" w:rsidR="00476E85" w:rsidRDefault="00832F94" w:rsidP="00832F94">
      <w:pPr>
        <w:pStyle w:val="ListParagraph"/>
        <w:numPr>
          <w:ilvl w:val="0"/>
          <w:numId w:val="34"/>
        </w:numPr>
        <w:spacing w:before="100" w:beforeAutospacing="1" w:after="100" w:afterAutospacing="1" w:line="240" w:lineRule="auto"/>
        <w:rPr>
          <w:rFonts w:eastAsia="Times New Roman" w:cs="Arial"/>
          <w:bCs/>
          <w:lang w:val="en"/>
        </w:rPr>
      </w:pPr>
      <w:r w:rsidRPr="00832F94">
        <w:rPr>
          <w:rFonts w:eastAsia="Times New Roman" w:cs="Arial"/>
          <w:bCs/>
          <w:lang w:val="en"/>
        </w:rPr>
        <w:t>A</w:t>
      </w:r>
      <w:r w:rsidR="00912319" w:rsidRPr="00832F94">
        <w:rPr>
          <w:rFonts w:eastAsia="Times New Roman" w:cs="Arial"/>
          <w:bCs/>
          <w:lang w:val="en"/>
        </w:rPr>
        <w:t xml:space="preserve"> meeting with the program involved will take </w:t>
      </w:r>
      <w:r w:rsidRPr="00832F94">
        <w:rPr>
          <w:rFonts w:eastAsia="Times New Roman" w:cs="Arial"/>
          <w:bCs/>
          <w:lang w:val="en"/>
        </w:rPr>
        <w:t>place to discuss the findings</w:t>
      </w:r>
      <w:r w:rsidR="00912319" w:rsidRPr="00832F94">
        <w:rPr>
          <w:rFonts w:eastAsia="Times New Roman" w:cs="Arial"/>
          <w:bCs/>
          <w:lang w:val="en"/>
        </w:rPr>
        <w:t>. A</w:t>
      </w:r>
      <w:r w:rsidR="00BC7518" w:rsidRPr="00832F94">
        <w:rPr>
          <w:rFonts w:eastAsia="Times New Roman" w:cs="Arial"/>
          <w:bCs/>
          <w:lang w:val="en"/>
        </w:rPr>
        <w:t xml:space="preserve"> management decision letter will be issued</w:t>
      </w:r>
      <w:r w:rsidR="00912319" w:rsidRPr="00832F94">
        <w:rPr>
          <w:rFonts w:eastAsia="Times New Roman" w:cs="Arial"/>
          <w:bCs/>
          <w:lang w:val="en"/>
        </w:rPr>
        <w:t xml:space="preserve"> after the meeting</w:t>
      </w:r>
      <w:r w:rsidRPr="00832F94">
        <w:rPr>
          <w:rFonts w:eastAsia="Times New Roman" w:cs="Arial"/>
          <w:bCs/>
          <w:lang w:val="en"/>
        </w:rPr>
        <w:t>.</w:t>
      </w:r>
      <w:r w:rsidR="00BC7518" w:rsidRPr="00832F94">
        <w:rPr>
          <w:rFonts w:eastAsia="Times New Roman" w:cs="Arial"/>
          <w:bCs/>
          <w:lang w:val="en"/>
        </w:rPr>
        <w:t xml:space="preserve"> </w:t>
      </w:r>
    </w:p>
    <w:p w14:paraId="054687AA" w14:textId="77777777" w:rsidR="00476E85" w:rsidRDefault="00476E85" w:rsidP="00476E85">
      <w:pPr>
        <w:pStyle w:val="ListParagraph"/>
        <w:numPr>
          <w:ilvl w:val="1"/>
          <w:numId w:val="34"/>
        </w:numPr>
        <w:spacing w:before="100" w:beforeAutospacing="1" w:after="100" w:afterAutospacing="1" w:line="240" w:lineRule="auto"/>
        <w:rPr>
          <w:rFonts w:eastAsia="Times New Roman" w:cs="Arial"/>
          <w:bCs/>
          <w:lang w:val="en"/>
        </w:rPr>
      </w:pPr>
      <w:r>
        <w:rPr>
          <w:rFonts w:eastAsia="Times New Roman" w:cs="Arial"/>
          <w:bCs/>
          <w:lang w:val="en"/>
        </w:rPr>
        <w:t>F</w:t>
      </w:r>
      <w:r w:rsidR="00832F94" w:rsidRPr="00832F94">
        <w:rPr>
          <w:rFonts w:eastAsia="Times New Roman" w:cs="Arial"/>
          <w:bCs/>
          <w:lang w:val="en"/>
        </w:rPr>
        <w:t xml:space="preserve">irst-year </w:t>
      </w:r>
      <w:r>
        <w:rPr>
          <w:rFonts w:eastAsia="Times New Roman" w:cs="Arial"/>
          <w:bCs/>
          <w:lang w:val="en"/>
        </w:rPr>
        <w:t>findings will require</w:t>
      </w:r>
      <w:r w:rsidR="00BC7518" w:rsidRPr="00832F94">
        <w:rPr>
          <w:rFonts w:eastAsia="Times New Roman" w:cs="Arial"/>
          <w:bCs/>
          <w:lang w:val="en"/>
        </w:rPr>
        <w:t xml:space="preserve"> quarterly reports</w:t>
      </w:r>
      <w:r>
        <w:rPr>
          <w:rFonts w:eastAsia="Times New Roman" w:cs="Arial"/>
          <w:bCs/>
          <w:lang w:val="en"/>
        </w:rPr>
        <w:t xml:space="preserve"> </w:t>
      </w:r>
      <w:r w:rsidR="00BC7518" w:rsidRPr="00832F94">
        <w:rPr>
          <w:rFonts w:eastAsia="Times New Roman" w:cs="Arial"/>
          <w:bCs/>
          <w:lang w:val="en"/>
        </w:rPr>
        <w:t xml:space="preserve">from the recipient </w:t>
      </w:r>
      <w:r w:rsidR="00640F9C">
        <w:rPr>
          <w:rFonts w:eastAsia="Times New Roman" w:cs="Arial"/>
          <w:bCs/>
          <w:lang w:val="en"/>
        </w:rPr>
        <w:t xml:space="preserve">requested on the last day of the quarter (adjusted last day if it falls on a weekend) </w:t>
      </w:r>
      <w:r w:rsidR="00BC7518" w:rsidRPr="00832F94">
        <w:rPr>
          <w:rFonts w:eastAsia="Times New Roman" w:cs="Arial"/>
          <w:bCs/>
          <w:lang w:val="en"/>
        </w:rPr>
        <w:t>until the findings are resolved.</w:t>
      </w:r>
      <w:r w:rsidR="00832F94" w:rsidRPr="00832F94">
        <w:rPr>
          <w:rFonts w:eastAsia="Times New Roman" w:cs="Arial"/>
          <w:bCs/>
          <w:lang w:val="en"/>
        </w:rPr>
        <w:t xml:space="preserve"> </w:t>
      </w:r>
    </w:p>
    <w:p w14:paraId="7DCF3C47" w14:textId="77777777" w:rsidR="00476E85" w:rsidRDefault="00832F94" w:rsidP="00476E85">
      <w:pPr>
        <w:pStyle w:val="ListParagraph"/>
        <w:numPr>
          <w:ilvl w:val="1"/>
          <w:numId w:val="34"/>
        </w:numPr>
        <w:spacing w:before="100" w:beforeAutospacing="1" w:after="100" w:afterAutospacing="1" w:line="240" w:lineRule="auto"/>
        <w:rPr>
          <w:rFonts w:eastAsia="Times New Roman" w:cs="Arial"/>
          <w:bCs/>
          <w:lang w:val="en"/>
        </w:rPr>
      </w:pPr>
      <w:r w:rsidRPr="00832F94">
        <w:rPr>
          <w:rFonts w:eastAsia="Times New Roman" w:cs="Arial"/>
          <w:bCs/>
          <w:lang w:val="en"/>
        </w:rPr>
        <w:t xml:space="preserve">A second-year repeated </w:t>
      </w:r>
      <w:r w:rsidR="00476E85">
        <w:rPr>
          <w:rFonts w:eastAsia="Times New Roman" w:cs="Arial"/>
          <w:bCs/>
          <w:lang w:val="en"/>
        </w:rPr>
        <w:t>finding</w:t>
      </w:r>
      <w:r w:rsidRPr="00832F94">
        <w:rPr>
          <w:rFonts w:eastAsia="Times New Roman" w:cs="Arial"/>
          <w:bCs/>
          <w:lang w:val="en"/>
        </w:rPr>
        <w:t xml:space="preserve"> will require bimonthly (every other month) reporting</w:t>
      </w:r>
      <w:r w:rsidR="00476E85">
        <w:rPr>
          <w:rFonts w:eastAsia="Times New Roman" w:cs="Arial"/>
          <w:bCs/>
          <w:lang w:val="en"/>
        </w:rPr>
        <w:t>.</w:t>
      </w:r>
    </w:p>
    <w:p w14:paraId="1248607D" w14:textId="77777777" w:rsidR="00476E85" w:rsidRDefault="00476E85" w:rsidP="00476E85">
      <w:pPr>
        <w:pStyle w:val="ListParagraph"/>
        <w:numPr>
          <w:ilvl w:val="1"/>
          <w:numId w:val="34"/>
        </w:numPr>
        <w:spacing w:before="100" w:beforeAutospacing="1" w:after="100" w:afterAutospacing="1" w:line="240" w:lineRule="auto"/>
        <w:rPr>
          <w:rFonts w:eastAsia="Times New Roman" w:cs="Arial"/>
          <w:bCs/>
          <w:lang w:val="en"/>
        </w:rPr>
      </w:pPr>
      <w:r>
        <w:rPr>
          <w:rFonts w:eastAsia="Times New Roman" w:cs="Arial"/>
          <w:bCs/>
          <w:lang w:val="en"/>
        </w:rPr>
        <w:t xml:space="preserve">Third-year and beyond </w:t>
      </w:r>
      <w:r w:rsidR="00832F94" w:rsidRPr="00832F94">
        <w:rPr>
          <w:rFonts w:eastAsia="Times New Roman" w:cs="Arial"/>
          <w:bCs/>
          <w:lang w:val="en"/>
        </w:rPr>
        <w:t xml:space="preserve">will </w:t>
      </w:r>
      <w:r>
        <w:rPr>
          <w:rFonts w:eastAsia="Times New Roman" w:cs="Arial"/>
          <w:bCs/>
          <w:lang w:val="en"/>
        </w:rPr>
        <w:t>require monthly reporting</w:t>
      </w:r>
      <w:r w:rsidR="00832F94" w:rsidRPr="00832F94">
        <w:rPr>
          <w:rFonts w:eastAsia="Times New Roman" w:cs="Arial"/>
          <w:bCs/>
          <w:lang w:val="en"/>
        </w:rPr>
        <w:t>.</w:t>
      </w:r>
    </w:p>
    <w:p w14:paraId="7DAA5613" w14:textId="77777777" w:rsidR="00BC7518" w:rsidRPr="00476E85" w:rsidRDefault="00476E85" w:rsidP="00476E85">
      <w:pPr>
        <w:spacing w:before="100" w:beforeAutospacing="1" w:after="100" w:afterAutospacing="1" w:line="240" w:lineRule="auto"/>
        <w:ind w:left="1080"/>
        <w:rPr>
          <w:rFonts w:eastAsia="Times New Roman" w:cs="Arial"/>
          <w:bCs/>
          <w:i/>
          <w:iCs/>
          <w:lang w:val="en"/>
        </w:rPr>
      </w:pPr>
      <w:r>
        <w:rPr>
          <w:rFonts w:eastAsia="Times New Roman" w:cs="Arial"/>
          <w:bCs/>
          <w:i/>
          <w:iCs/>
          <w:lang w:val="en"/>
        </w:rPr>
        <w:t>I</w:t>
      </w:r>
      <w:r w:rsidR="00832F94" w:rsidRPr="00476E85">
        <w:rPr>
          <w:rFonts w:eastAsia="Times New Roman" w:cs="Arial"/>
          <w:bCs/>
          <w:i/>
          <w:iCs/>
          <w:lang w:val="en"/>
        </w:rPr>
        <w:t xml:space="preserve">t is at the discretion of the program and audits offices to change the requirement or pull all funding until there is a resolution. </w:t>
      </w:r>
    </w:p>
    <w:bookmarkEnd w:id="0"/>
    <w:bookmarkEnd w:id="1"/>
    <w:p w14:paraId="0AB51FBA" w14:textId="77777777" w:rsidR="00156FA7" w:rsidRDefault="00156FA7" w:rsidP="00A823BF">
      <w:pPr>
        <w:spacing w:before="100" w:beforeAutospacing="1" w:after="100" w:afterAutospacing="1" w:line="240" w:lineRule="auto"/>
        <w:contextualSpacing/>
        <w:rPr>
          <w:rFonts w:eastAsia="Times New Roman" w:cs="Arial"/>
          <w:b/>
          <w:bCs/>
          <w:sz w:val="28"/>
          <w:szCs w:val="28"/>
          <w:lang w:val="en"/>
        </w:rPr>
      </w:pPr>
    </w:p>
    <w:p w14:paraId="618EC9C2" w14:textId="77777777" w:rsidR="00F2658A" w:rsidRDefault="00BC7518" w:rsidP="00A823BF">
      <w:pPr>
        <w:spacing w:before="100" w:beforeAutospacing="1" w:after="100" w:afterAutospacing="1" w:line="240" w:lineRule="auto"/>
        <w:contextualSpacing/>
        <w:rPr>
          <w:rFonts w:eastAsia="Times New Roman" w:cs="Arial"/>
          <w:b/>
          <w:bCs/>
          <w:sz w:val="28"/>
          <w:szCs w:val="28"/>
          <w:lang w:val="en"/>
        </w:rPr>
      </w:pPr>
      <w:r>
        <w:rPr>
          <w:rFonts w:eastAsia="Times New Roman" w:cs="Arial"/>
          <w:b/>
          <w:bCs/>
          <w:sz w:val="28"/>
          <w:szCs w:val="28"/>
          <w:lang w:val="en"/>
        </w:rPr>
        <w:t xml:space="preserve">X. </w:t>
      </w:r>
      <w:r w:rsidR="00F2658A" w:rsidRPr="00A46F17">
        <w:rPr>
          <w:rFonts w:eastAsia="Times New Roman" w:cs="Arial"/>
          <w:b/>
          <w:bCs/>
          <w:sz w:val="28"/>
          <w:szCs w:val="28"/>
          <w:lang w:val="en"/>
        </w:rPr>
        <w:t>Railroad Reviews</w:t>
      </w:r>
    </w:p>
    <w:p w14:paraId="3DDEF13E" w14:textId="77777777" w:rsidR="00F94512" w:rsidRPr="00A46F17" w:rsidRDefault="00F94512" w:rsidP="00A823BF">
      <w:pPr>
        <w:spacing w:before="100" w:beforeAutospacing="1" w:after="100" w:afterAutospacing="1" w:line="240" w:lineRule="auto"/>
        <w:contextualSpacing/>
        <w:rPr>
          <w:rFonts w:eastAsia="Times New Roman" w:cs="Arial"/>
          <w:b/>
          <w:sz w:val="28"/>
          <w:szCs w:val="28"/>
          <w:lang w:val="en"/>
        </w:rPr>
      </w:pPr>
    </w:p>
    <w:p w14:paraId="2CD9A23A" w14:textId="77777777" w:rsidR="00185F1E" w:rsidRPr="00185F1E" w:rsidRDefault="00185F1E" w:rsidP="00A823BF">
      <w:pPr>
        <w:spacing w:before="100" w:beforeAutospacing="1" w:after="100" w:afterAutospacing="1" w:line="240" w:lineRule="auto"/>
        <w:contextualSpacing/>
        <w:rPr>
          <w:rFonts w:eastAsia="Times New Roman" w:cs="Arial"/>
          <w:b/>
          <w:lang w:val="en"/>
        </w:rPr>
      </w:pPr>
      <w:r w:rsidRPr="00185F1E">
        <w:rPr>
          <w:rFonts w:eastAsia="Times New Roman" w:cs="Arial"/>
          <w:b/>
          <w:lang w:val="en"/>
        </w:rPr>
        <w:t>Equipment Rates</w:t>
      </w:r>
    </w:p>
    <w:p w14:paraId="34316895" w14:textId="77777777" w:rsidR="00185F1E" w:rsidRDefault="00F2658A" w:rsidP="00A823BF">
      <w:pPr>
        <w:spacing w:before="100" w:beforeAutospacing="1" w:after="100" w:afterAutospacing="1" w:line="240" w:lineRule="auto"/>
        <w:contextualSpacing/>
        <w:rPr>
          <w:rFonts w:eastAsia="Times New Roman" w:cs="Arial"/>
          <w:lang w:val="en"/>
        </w:rPr>
      </w:pPr>
      <w:r w:rsidRPr="00A46F17">
        <w:rPr>
          <w:rFonts w:eastAsia="Times New Roman" w:cs="Arial"/>
          <w:lang w:val="en"/>
        </w:rPr>
        <w:t xml:space="preserve">To ensure the equipment rates are based on average or actual costs or at industry rates such as the Blue Book for Railroad Equipment Rates. Blue Book rates may be used in lieu of actual costs if agreed to by the railroad, State Highway Agency (SHA), and Federal Highway Administration (FHWA). </w:t>
      </w:r>
    </w:p>
    <w:p w14:paraId="6685E9FA" w14:textId="77777777" w:rsidR="00185F1E" w:rsidRDefault="00185F1E" w:rsidP="00A823BF">
      <w:pPr>
        <w:spacing w:before="100" w:beforeAutospacing="1" w:after="100" w:afterAutospacing="1" w:line="240" w:lineRule="auto"/>
        <w:contextualSpacing/>
        <w:rPr>
          <w:rFonts w:eastAsia="Times New Roman" w:cs="Arial"/>
          <w:lang w:val="en"/>
        </w:rPr>
      </w:pPr>
    </w:p>
    <w:p w14:paraId="3A6E1175" w14:textId="77777777" w:rsidR="00F2658A" w:rsidRPr="00A46F17" w:rsidRDefault="00F2658A" w:rsidP="00A823BF">
      <w:pPr>
        <w:spacing w:before="100" w:beforeAutospacing="1" w:after="100" w:afterAutospacing="1" w:line="240" w:lineRule="auto"/>
        <w:contextualSpacing/>
        <w:rPr>
          <w:rFonts w:eastAsia="Times New Roman" w:cs="Arial"/>
          <w:lang w:val="en"/>
        </w:rPr>
      </w:pPr>
      <w:r w:rsidRPr="00A46F17">
        <w:rPr>
          <w:rFonts w:eastAsia="Times New Roman" w:cs="Arial"/>
          <w:lang w:val="en"/>
        </w:rPr>
        <w:t xml:space="preserve">When using the Blue Book rates, the rates should be adjusted by the following: </w:t>
      </w:r>
    </w:p>
    <w:p w14:paraId="2BA09617" w14:textId="77777777" w:rsidR="00F2658A" w:rsidRPr="00185F1E" w:rsidRDefault="00F2658A" w:rsidP="00690620">
      <w:pPr>
        <w:pStyle w:val="ListParagraph"/>
        <w:numPr>
          <w:ilvl w:val="0"/>
          <w:numId w:val="30"/>
        </w:numPr>
        <w:spacing w:before="100" w:beforeAutospacing="1" w:after="100" w:afterAutospacing="1" w:line="240" w:lineRule="auto"/>
        <w:rPr>
          <w:rFonts w:eastAsia="Times New Roman" w:cs="Arial"/>
          <w:lang w:val="en"/>
        </w:rPr>
      </w:pPr>
      <w:r w:rsidRPr="00185F1E">
        <w:rPr>
          <w:rFonts w:eastAsia="Times New Roman" w:cs="Arial"/>
          <w:lang w:val="en"/>
        </w:rPr>
        <w:lastRenderedPageBreak/>
        <w:t>The proposed equipment rate should be an hourly rate based on the Blue Book monthly rate divided by 176 hours. Then the hourly rate is then adjusted for age factors and operating expenses as set forth in the Blue Book.</w:t>
      </w:r>
    </w:p>
    <w:p w14:paraId="4AAAA900" w14:textId="77777777" w:rsidR="00F2658A" w:rsidRPr="00185F1E" w:rsidRDefault="00F2658A" w:rsidP="00690620">
      <w:pPr>
        <w:pStyle w:val="ListParagraph"/>
        <w:numPr>
          <w:ilvl w:val="0"/>
          <w:numId w:val="30"/>
        </w:numPr>
        <w:spacing w:before="100" w:beforeAutospacing="1" w:after="100" w:afterAutospacing="1" w:line="240" w:lineRule="auto"/>
        <w:rPr>
          <w:rFonts w:eastAsia="Times New Roman" w:cs="Arial"/>
          <w:lang w:val="en"/>
        </w:rPr>
      </w:pPr>
      <w:r w:rsidRPr="00185F1E">
        <w:rPr>
          <w:rFonts w:eastAsia="Times New Roman" w:cs="Arial"/>
          <w:lang w:val="en"/>
        </w:rPr>
        <w:t>The depreciation should be excluded from the rate calculation, if the equipment is twenty years or older.</w:t>
      </w:r>
    </w:p>
    <w:p w14:paraId="10224B21" w14:textId="77777777" w:rsidR="00F2658A" w:rsidRPr="00185F1E" w:rsidRDefault="00F2658A" w:rsidP="00690620">
      <w:pPr>
        <w:pStyle w:val="ListParagraph"/>
        <w:numPr>
          <w:ilvl w:val="0"/>
          <w:numId w:val="30"/>
        </w:numPr>
        <w:spacing w:before="100" w:beforeAutospacing="1" w:after="100" w:afterAutospacing="1" w:line="240" w:lineRule="auto"/>
        <w:rPr>
          <w:rFonts w:eastAsia="Times New Roman" w:cs="Arial"/>
          <w:lang w:val="en"/>
        </w:rPr>
      </w:pPr>
      <w:r w:rsidRPr="00185F1E">
        <w:rPr>
          <w:rFonts w:eastAsia="Times New Roman" w:cs="Arial"/>
          <w:lang w:val="en"/>
        </w:rPr>
        <w:t>The hourly rate should exclude any cost for indirect overhead (general and administrative) costs and the cost of facilities capital.</w:t>
      </w:r>
    </w:p>
    <w:p w14:paraId="0EA8FA92" w14:textId="77777777" w:rsidR="00185F1E" w:rsidRDefault="00F2658A" w:rsidP="00A823BF">
      <w:pPr>
        <w:spacing w:before="100" w:beforeAutospacing="1" w:after="100" w:afterAutospacing="1" w:line="240" w:lineRule="auto"/>
        <w:contextualSpacing/>
        <w:rPr>
          <w:rFonts w:eastAsia="Times New Roman" w:cs="Arial"/>
          <w:b/>
          <w:lang w:val="en"/>
        </w:rPr>
      </w:pPr>
      <w:r w:rsidRPr="00185F1E">
        <w:rPr>
          <w:rFonts w:eastAsia="Times New Roman" w:cs="Arial"/>
          <w:b/>
          <w:lang w:val="en"/>
        </w:rPr>
        <w:t>Labor Additive Costs or Rate</w:t>
      </w:r>
    </w:p>
    <w:p w14:paraId="03A174C1" w14:textId="77777777" w:rsidR="00F2658A" w:rsidRDefault="00F2658A" w:rsidP="00A823BF">
      <w:pPr>
        <w:spacing w:before="100" w:beforeAutospacing="1" w:after="100" w:afterAutospacing="1" w:line="240" w:lineRule="auto"/>
        <w:contextualSpacing/>
        <w:rPr>
          <w:rFonts w:eastAsia="Times New Roman" w:cs="Arial"/>
          <w:lang w:val="en"/>
        </w:rPr>
      </w:pPr>
      <w:r w:rsidRPr="00A46F17">
        <w:rPr>
          <w:rFonts w:eastAsia="Times New Roman" w:cs="Arial"/>
          <w:lang w:val="en"/>
        </w:rPr>
        <w:t>To ensure the labor additive rate is based on actual costs or an additive rate, which is representative of actual costs incurred. The rate should be approved by SHA and FHWA.</w:t>
      </w:r>
    </w:p>
    <w:p w14:paraId="6408CF0D" w14:textId="77777777" w:rsidR="00185F1E" w:rsidRPr="00A46F17" w:rsidRDefault="00185F1E" w:rsidP="00A823BF">
      <w:pPr>
        <w:spacing w:before="100" w:beforeAutospacing="1" w:after="100" w:afterAutospacing="1" w:line="240" w:lineRule="auto"/>
        <w:contextualSpacing/>
        <w:rPr>
          <w:rFonts w:eastAsia="Times New Roman" w:cs="Arial"/>
          <w:lang w:val="en"/>
        </w:rPr>
      </w:pPr>
    </w:p>
    <w:p w14:paraId="40FC15BE" w14:textId="77777777" w:rsidR="00185F1E" w:rsidRPr="00185F1E" w:rsidRDefault="00185F1E" w:rsidP="00A823BF">
      <w:pPr>
        <w:spacing w:before="100" w:beforeAutospacing="1" w:after="100" w:afterAutospacing="1" w:line="240" w:lineRule="auto"/>
        <w:contextualSpacing/>
        <w:rPr>
          <w:rFonts w:eastAsia="Times New Roman" w:cs="Arial"/>
          <w:b/>
          <w:lang w:val="en"/>
        </w:rPr>
      </w:pPr>
      <w:r w:rsidRPr="00185F1E">
        <w:rPr>
          <w:rFonts w:eastAsia="Times New Roman" w:cs="Arial"/>
          <w:b/>
          <w:lang w:val="en"/>
        </w:rPr>
        <w:t>Overhead Costs</w:t>
      </w:r>
    </w:p>
    <w:p w14:paraId="21DAE2B5" w14:textId="77777777" w:rsidR="00D24568" w:rsidRPr="00D0562C" w:rsidRDefault="00F2658A" w:rsidP="00A823BF">
      <w:pPr>
        <w:spacing w:before="100" w:beforeAutospacing="1" w:after="100" w:afterAutospacing="1" w:line="240" w:lineRule="auto"/>
        <w:contextualSpacing/>
        <w:rPr>
          <w:rFonts w:eastAsia="Times New Roman" w:cs="Arial"/>
          <w:lang w:val="en"/>
        </w:rPr>
      </w:pPr>
      <w:r w:rsidRPr="00A46F17">
        <w:rPr>
          <w:rFonts w:eastAsia="Times New Roman" w:cs="Arial"/>
          <w:lang w:val="en"/>
        </w:rPr>
        <w:t>A State may elect to reimburse the railroad for its overhead and indirect construction costs</w:t>
      </w:r>
      <w:r w:rsidR="004223E5">
        <w:rPr>
          <w:rFonts w:eastAsia="Times New Roman" w:cs="Arial"/>
          <w:lang w:val="en"/>
        </w:rPr>
        <w:t xml:space="preserve"> per Title 23 CFR 140.907</w:t>
      </w:r>
      <w:r w:rsidRPr="00A46F17">
        <w:rPr>
          <w:rFonts w:eastAsia="Times New Roman" w:cs="Arial"/>
          <w:lang w:val="en"/>
        </w:rPr>
        <w:t xml:space="preserve">. </w:t>
      </w:r>
      <w:r w:rsidRPr="009A497D">
        <w:rPr>
          <w:rFonts w:eastAsia="Times New Roman" w:cs="Arial"/>
          <w:lang w:val="en"/>
        </w:rPr>
        <w:t xml:space="preserve">The State of South Dakota elected </w:t>
      </w:r>
      <w:r w:rsidR="00185F1E" w:rsidRPr="009A497D">
        <w:rPr>
          <w:rFonts w:eastAsia="Times New Roman" w:cs="Arial"/>
          <w:lang w:val="en"/>
        </w:rPr>
        <w:t>NOT</w:t>
      </w:r>
      <w:r w:rsidRPr="009A497D">
        <w:rPr>
          <w:rFonts w:eastAsia="Times New Roman" w:cs="Arial"/>
          <w:lang w:val="en"/>
        </w:rPr>
        <w:t xml:space="preserve"> to reimburse the railroads for their overhead and indirect construction </w:t>
      </w:r>
      <w:r w:rsidR="009A497D" w:rsidRPr="009A497D">
        <w:rPr>
          <w:rFonts w:eastAsia="Times New Roman" w:cs="Arial"/>
          <w:lang w:val="en"/>
        </w:rPr>
        <w:t xml:space="preserve">costs; </w:t>
      </w:r>
      <w:r w:rsidR="009A497D">
        <w:rPr>
          <w:rFonts w:eastAsia="Times New Roman" w:cs="Arial"/>
          <w:lang w:val="en"/>
        </w:rPr>
        <w:t>t</w:t>
      </w:r>
      <w:r w:rsidR="009A497D" w:rsidRPr="009A497D">
        <w:rPr>
          <w:rFonts w:eastAsia="Times New Roman" w:cs="Arial"/>
          <w:lang w:val="en"/>
        </w:rPr>
        <w:t>he</w:t>
      </w:r>
      <w:r w:rsidR="009A497D">
        <w:rPr>
          <w:rFonts w:eastAsia="Times New Roman" w:cs="Arial"/>
          <w:lang w:val="en"/>
        </w:rPr>
        <w:t>r</w:t>
      </w:r>
      <w:r w:rsidR="009A497D" w:rsidRPr="009A497D">
        <w:rPr>
          <w:rFonts w:eastAsia="Times New Roman" w:cs="Arial"/>
          <w:lang w:val="en"/>
        </w:rPr>
        <w:t>efor</w:t>
      </w:r>
      <w:r w:rsidR="009A497D">
        <w:rPr>
          <w:rFonts w:eastAsia="Times New Roman" w:cs="Arial"/>
          <w:lang w:val="en"/>
        </w:rPr>
        <w:t>e</w:t>
      </w:r>
      <w:r w:rsidR="009A497D" w:rsidRPr="009A497D">
        <w:rPr>
          <w:rFonts w:eastAsia="Times New Roman" w:cs="Arial"/>
          <w:lang w:val="en"/>
        </w:rPr>
        <w:t>, the</w:t>
      </w:r>
      <w:r w:rsidRPr="00A46F17">
        <w:rPr>
          <w:rFonts w:eastAsia="Times New Roman" w:cs="Arial"/>
          <w:lang w:val="en"/>
        </w:rPr>
        <w:t xml:space="preserve"> Department of Transportation will not allow reimbursement of overhead costs incurred by railroads performing work on any Railroad project.</w:t>
      </w:r>
    </w:p>
    <w:p w14:paraId="6537F492" w14:textId="77777777" w:rsidR="00D0562C" w:rsidRDefault="00D0562C" w:rsidP="00A823BF">
      <w:pPr>
        <w:spacing w:after="0" w:line="240" w:lineRule="auto"/>
        <w:contextualSpacing/>
        <w:rPr>
          <w:b/>
          <w:sz w:val="28"/>
          <w:szCs w:val="28"/>
        </w:rPr>
      </w:pPr>
    </w:p>
    <w:p w14:paraId="2EAE756F" w14:textId="77777777" w:rsidR="00201C92" w:rsidRDefault="00201C92" w:rsidP="00A823BF">
      <w:pPr>
        <w:spacing w:after="0" w:line="240" w:lineRule="auto"/>
        <w:contextualSpacing/>
        <w:rPr>
          <w:b/>
        </w:rPr>
      </w:pPr>
      <w:r w:rsidRPr="00201C92">
        <w:rPr>
          <w:b/>
        </w:rPr>
        <w:t>Railroad Voucher Processing</w:t>
      </w:r>
    </w:p>
    <w:p w14:paraId="75DBE87B" w14:textId="77777777" w:rsidR="00F94512" w:rsidRPr="00526CA8" w:rsidRDefault="00201C92" w:rsidP="00A823BF">
      <w:pPr>
        <w:spacing w:after="0" w:line="240" w:lineRule="auto"/>
        <w:contextualSpacing/>
      </w:pPr>
      <w:r>
        <w:t xml:space="preserve">Railroad vouchers are reviewed </w:t>
      </w:r>
      <w:r w:rsidR="00941F72">
        <w:t xml:space="preserve">as above in Section V, </w:t>
      </w:r>
      <w:r>
        <w:t xml:space="preserve">based on </w:t>
      </w:r>
      <w:r w:rsidR="00D708D5">
        <w:t xml:space="preserve">but not limited to </w:t>
      </w:r>
      <w:r>
        <w:t>the checklist</w:t>
      </w:r>
      <w:r w:rsidR="00791612">
        <w:t>.</w:t>
      </w:r>
      <w:r w:rsidR="00791612" w:rsidRPr="00791612">
        <w:t xml:space="preserve"> </w:t>
      </w:r>
      <w:r w:rsidR="00791612" w:rsidRPr="00A46F17">
        <w:t xml:space="preserve">(See attachment II – </w:t>
      </w:r>
      <w:hyperlink r:id="rId13" w:history="1">
        <w:r w:rsidR="00791612" w:rsidRPr="00A46F17">
          <w:rPr>
            <w:rStyle w:val="Hyperlink"/>
          </w:rPr>
          <w:t>Voucher Checklist</w:t>
        </w:r>
      </w:hyperlink>
      <w:r w:rsidR="00791612" w:rsidRPr="00A46F17">
        <w:t>)</w:t>
      </w:r>
    </w:p>
    <w:p w14:paraId="1072A9A0" w14:textId="77777777" w:rsidR="006900CA" w:rsidRDefault="006900CA" w:rsidP="00A823BF">
      <w:pPr>
        <w:spacing w:after="0" w:line="240" w:lineRule="auto"/>
        <w:contextualSpacing/>
        <w:rPr>
          <w:b/>
          <w:sz w:val="28"/>
          <w:szCs w:val="28"/>
        </w:rPr>
      </w:pPr>
    </w:p>
    <w:p w14:paraId="19E22B2E" w14:textId="732A7BE2" w:rsidR="00266260" w:rsidRDefault="00266260" w:rsidP="00266260">
      <w:pPr>
        <w:spacing w:after="0" w:line="240" w:lineRule="auto"/>
        <w:contextualSpacing/>
        <w:rPr>
          <w:b/>
          <w:sz w:val="28"/>
          <w:szCs w:val="28"/>
        </w:rPr>
      </w:pPr>
      <w:r w:rsidRPr="00A46F17">
        <w:rPr>
          <w:b/>
          <w:sz w:val="28"/>
          <w:szCs w:val="28"/>
        </w:rPr>
        <w:t>X</w:t>
      </w:r>
      <w:r w:rsidR="00BC7518">
        <w:rPr>
          <w:b/>
          <w:sz w:val="28"/>
          <w:szCs w:val="28"/>
        </w:rPr>
        <w:t>I</w:t>
      </w:r>
      <w:r w:rsidRPr="00A46F17">
        <w:rPr>
          <w:b/>
          <w:sz w:val="28"/>
          <w:szCs w:val="28"/>
        </w:rPr>
        <w:t xml:space="preserve">. </w:t>
      </w:r>
      <w:r w:rsidR="00675151">
        <w:rPr>
          <w:b/>
          <w:sz w:val="28"/>
          <w:szCs w:val="28"/>
        </w:rPr>
        <w:t xml:space="preserve">State </w:t>
      </w:r>
      <w:r>
        <w:rPr>
          <w:b/>
          <w:sz w:val="28"/>
          <w:szCs w:val="28"/>
        </w:rPr>
        <w:t>Grants</w:t>
      </w:r>
    </w:p>
    <w:p w14:paraId="149F4534" w14:textId="77777777" w:rsidR="00266260" w:rsidRDefault="00266260" w:rsidP="00266260">
      <w:pPr>
        <w:spacing w:after="0" w:line="240" w:lineRule="auto"/>
        <w:contextualSpacing/>
        <w:rPr>
          <w:b/>
          <w:sz w:val="28"/>
          <w:szCs w:val="28"/>
        </w:rPr>
      </w:pPr>
    </w:p>
    <w:p w14:paraId="3D2E85ED" w14:textId="0CFEC372" w:rsidR="00266260" w:rsidRDefault="00675151" w:rsidP="00266260">
      <w:pPr>
        <w:spacing w:after="0" w:line="240" w:lineRule="auto"/>
        <w:contextualSpacing/>
      </w:pPr>
      <w:r w:rsidRPr="00675151">
        <w:rPr>
          <w:bCs/>
        </w:rPr>
        <w:t>Industrial Park, Agri-Business Access, or Community Access</w:t>
      </w:r>
      <w:r>
        <w:t xml:space="preserve"> Grants:</w:t>
      </w:r>
      <w:r w:rsidRPr="00675151">
        <w:t xml:space="preserve"> </w:t>
      </w:r>
      <w:r w:rsidR="00266260" w:rsidRPr="00266260">
        <w:t xml:space="preserve">When reviewing the above grants, </w:t>
      </w:r>
      <w:r w:rsidR="00266260">
        <w:t xml:space="preserve">the contract template will have the City/County’s estimate listed but then in the Payment section of the grant, there will be a statement of what percent </w:t>
      </w:r>
      <w:r w:rsidR="000B02C0">
        <w:t>SD</w:t>
      </w:r>
      <w:r w:rsidR="00266260">
        <w:t>DOT will pay up to a certain amount. There are fact sheets found on Local Government Assistance’s website that will list the limited amount that SDDOT will pay.</w:t>
      </w:r>
      <w:r w:rsidR="000B02C0">
        <w:t xml:space="preserve"> If confirmation of the City/County’s estimate is needed, a request will be made to Local Government Assistance for the application form filled out by the City/County. This will have the estimate listed on it.</w:t>
      </w:r>
    </w:p>
    <w:p w14:paraId="249CB552" w14:textId="2AE4DA84" w:rsidR="00675151" w:rsidRDefault="00675151" w:rsidP="00266260">
      <w:pPr>
        <w:spacing w:after="0" w:line="240" w:lineRule="auto"/>
        <w:contextualSpacing/>
      </w:pPr>
    </w:p>
    <w:p w14:paraId="289FB79F" w14:textId="219AFA22" w:rsidR="00675151" w:rsidRPr="00266260" w:rsidRDefault="00675151" w:rsidP="00266260">
      <w:pPr>
        <w:spacing w:after="0" w:line="240" w:lineRule="auto"/>
        <w:contextualSpacing/>
      </w:pPr>
      <w:r>
        <w:t xml:space="preserve">Bridge Improvement Grants (BIG): The BIGs are state grants as opposed to federal grants which require specific guidance. The </w:t>
      </w:r>
      <w:r w:rsidR="00D65220">
        <w:t xml:space="preserve">state </w:t>
      </w:r>
      <w:r>
        <w:t xml:space="preserve">grants received by counties are included in the overall audit </w:t>
      </w:r>
      <w:r w:rsidR="00D65220">
        <w:t>process,</w:t>
      </w:r>
      <w:r>
        <w:t xml:space="preserve"> but no firm testing is implemented. Management has the final say on level of documentation required to pass audit.</w:t>
      </w:r>
    </w:p>
    <w:p w14:paraId="3CD4AB1E" w14:textId="77777777" w:rsidR="00266260" w:rsidRPr="00266260" w:rsidRDefault="00266260" w:rsidP="00A823BF">
      <w:pPr>
        <w:spacing w:after="0" w:line="240" w:lineRule="auto"/>
        <w:contextualSpacing/>
      </w:pPr>
    </w:p>
    <w:p w14:paraId="45B56574" w14:textId="77777777" w:rsidR="0058187E" w:rsidRPr="00A46F17" w:rsidRDefault="00F2658A" w:rsidP="00A823BF">
      <w:pPr>
        <w:spacing w:after="0" w:line="240" w:lineRule="auto"/>
        <w:contextualSpacing/>
        <w:rPr>
          <w:b/>
          <w:sz w:val="28"/>
          <w:szCs w:val="28"/>
        </w:rPr>
      </w:pPr>
      <w:r w:rsidRPr="00A46F17">
        <w:rPr>
          <w:b/>
          <w:sz w:val="28"/>
          <w:szCs w:val="28"/>
        </w:rPr>
        <w:t>X</w:t>
      </w:r>
      <w:r w:rsidR="000B02C0">
        <w:rPr>
          <w:b/>
          <w:sz w:val="28"/>
          <w:szCs w:val="28"/>
        </w:rPr>
        <w:t>I</w:t>
      </w:r>
      <w:r w:rsidR="00BC7518">
        <w:rPr>
          <w:b/>
          <w:sz w:val="28"/>
          <w:szCs w:val="28"/>
        </w:rPr>
        <w:t>I</w:t>
      </w:r>
      <w:r w:rsidR="00EF5546" w:rsidRPr="00A46F17">
        <w:rPr>
          <w:b/>
          <w:sz w:val="28"/>
          <w:szCs w:val="28"/>
        </w:rPr>
        <w:t xml:space="preserve">. </w:t>
      </w:r>
      <w:r w:rsidR="000B164E" w:rsidRPr="00A46F17">
        <w:rPr>
          <w:b/>
          <w:sz w:val="28"/>
          <w:szCs w:val="28"/>
        </w:rPr>
        <w:t>Links</w:t>
      </w:r>
    </w:p>
    <w:p w14:paraId="5B01FEE3" w14:textId="77777777" w:rsidR="00D24568" w:rsidRPr="00A46F17" w:rsidRDefault="00D24568" w:rsidP="00A823BF">
      <w:pPr>
        <w:spacing w:after="0" w:line="240" w:lineRule="auto"/>
        <w:contextualSpacing/>
        <w:rPr>
          <w:b/>
          <w:sz w:val="20"/>
          <w:szCs w:val="20"/>
        </w:rPr>
      </w:pPr>
    </w:p>
    <w:p w14:paraId="769C2BF2" w14:textId="77777777" w:rsidR="000F7CCC" w:rsidRPr="00A46F17" w:rsidRDefault="000F7CCC" w:rsidP="00A823BF">
      <w:pPr>
        <w:spacing w:after="0" w:line="240" w:lineRule="auto"/>
        <w:contextualSpacing/>
        <w:rPr>
          <w:b/>
          <w:sz w:val="20"/>
          <w:szCs w:val="20"/>
        </w:rPr>
      </w:pPr>
      <w:r w:rsidRPr="00A46F17">
        <w:rPr>
          <w:b/>
          <w:sz w:val="20"/>
          <w:szCs w:val="20"/>
        </w:rPr>
        <w:t>Uniform Audit &amp; Accounting Guide</w:t>
      </w:r>
    </w:p>
    <w:p w14:paraId="604EC8D1" w14:textId="77777777" w:rsidR="00122CE1" w:rsidRPr="00122CE1" w:rsidRDefault="00122CE1" w:rsidP="00A823BF">
      <w:pPr>
        <w:spacing w:after="0" w:line="240" w:lineRule="auto"/>
        <w:contextualSpacing/>
        <w:rPr>
          <w:sz w:val="20"/>
          <w:szCs w:val="20"/>
        </w:rPr>
      </w:pPr>
      <w:r>
        <w:rPr>
          <w:sz w:val="20"/>
          <w:szCs w:val="20"/>
        </w:rPr>
        <w:fldChar w:fldCharType="begin"/>
      </w:r>
      <w:r>
        <w:rPr>
          <w:sz w:val="20"/>
          <w:szCs w:val="20"/>
        </w:rPr>
        <w:instrText xml:space="preserve"> HYPERLINK "</w:instrText>
      </w:r>
      <w:r w:rsidRPr="00122CE1">
        <w:rPr>
          <w:sz w:val="20"/>
          <w:szCs w:val="20"/>
        </w:rPr>
        <w:instrText>http://audit.transportation.org/</w:instrText>
      </w:r>
    </w:p>
    <w:p w14:paraId="497AD4F7" w14:textId="77777777" w:rsidR="00122CE1" w:rsidRPr="00706470" w:rsidRDefault="00122CE1" w:rsidP="00A823BF">
      <w:pPr>
        <w:spacing w:after="0" w:line="240" w:lineRule="auto"/>
        <w:contextualSpacing/>
        <w:rPr>
          <w:rStyle w:val="Hyperlink"/>
          <w:sz w:val="20"/>
          <w:szCs w:val="20"/>
        </w:rPr>
      </w:pPr>
      <w:r>
        <w:rPr>
          <w:sz w:val="20"/>
          <w:szCs w:val="20"/>
        </w:rPr>
        <w:instrText xml:space="preserve">" </w:instrText>
      </w:r>
      <w:r>
        <w:rPr>
          <w:sz w:val="20"/>
          <w:szCs w:val="20"/>
        </w:rPr>
        <w:fldChar w:fldCharType="separate"/>
      </w:r>
      <w:r w:rsidRPr="00706470">
        <w:rPr>
          <w:rStyle w:val="Hyperlink"/>
          <w:sz w:val="20"/>
          <w:szCs w:val="20"/>
        </w:rPr>
        <w:t>http://audit.transportation.org/</w:t>
      </w:r>
    </w:p>
    <w:p w14:paraId="0848D5CF" w14:textId="77777777" w:rsidR="000F7CCC" w:rsidRPr="00A46F17" w:rsidRDefault="00122CE1" w:rsidP="00A823BF">
      <w:pPr>
        <w:spacing w:after="0" w:line="240" w:lineRule="auto"/>
        <w:contextualSpacing/>
        <w:rPr>
          <w:b/>
          <w:sz w:val="20"/>
          <w:szCs w:val="20"/>
        </w:rPr>
      </w:pPr>
      <w:r>
        <w:rPr>
          <w:sz w:val="20"/>
          <w:szCs w:val="20"/>
        </w:rPr>
        <w:fldChar w:fldCharType="end"/>
      </w:r>
    </w:p>
    <w:p w14:paraId="6D3F2403" w14:textId="77777777" w:rsidR="009B3619" w:rsidRDefault="009B3619" w:rsidP="00A823BF">
      <w:pPr>
        <w:autoSpaceDE w:val="0"/>
        <w:autoSpaceDN w:val="0"/>
        <w:adjustRightInd w:val="0"/>
        <w:spacing w:after="0" w:line="240" w:lineRule="auto"/>
        <w:contextualSpacing/>
        <w:rPr>
          <w:rFonts w:cs="Arial"/>
          <w:b/>
          <w:bCs/>
          <w:sz w:val="20"/>
          <w:szCs w:val="20"/>
        </w:rPr>
      </w:pPr>
      <w:r>
        <w:rPr>
          <w:rFonts w:cs="Arial"/>
          <w:b/>
          <w:bCs/>
          <w:sz w:val="20"/>
          <w:szCs w:val="20"/>
        </w:rPr>
        <w:t>2 CFR 200 Uniform Administrative Requirements, Cost Principles, and Audit Requirements for Federal Awards</w:t>
      </w:r>
    </w:p>
    <w:p w14:paraId="2A5581AD" w14:textId="77777777" w:rsidR="009B3619" w:rsidRPr="007A40D2" w:rsidRDefault="00002A73" w:rsidP="00A823BF">
      <w:pPr>
        <w:autoSpaceDE w:val="0"/>
        <w:autoSpaceDN w:val="0"/>
        <w:adjustRightInd w:val="0"/>
        <w:spacing w:after="0" w:line="240" w:lineRule="auto"/>
        <w:contextualSpacing/>
        <w:rPr>
          <w:rFonts w:cs="Arial"/>
          <w:bCs/>
          <w:sz w:val="20"/>
          <w:szCs w:val="20"/>
        </w:rPr>
      </w:pPr>
      <w:hyperlink r:id="rId14" w:history="1">
        <w:r w:rsidR="009B3619" w:rsidRPr="007A40D2">
          <w:rPr>
            <w:rStyle w:val="Hyperlink"/>
            <w:rFonts w:cs="Arial"/>
            <w:bCs/>
            <w:sz w:val="20"/>
            <w:szCs w:val="20"/>
          </w:rPr>
          <w:t>http://www.ecfr.gov/cgi-bin/text-idx?tpl=/ecfrbrowse/Title02/2cfr200_main_02.tpl</w:t>
        </w:r>
      </w:hyperlink>
    </w:p>
    <w:p w14:paraId="2D5C839E" w14:textId="77777777" w:rsidR="007A40D2" w:rsidRDefault="007A40D2" w:rsidP="00A823BF">
      <w:pPr>
        <w:autoSpaceDE w:val="0"/>
        <w:autoSpaceDN w:val="0"/>
        <w:adjustRightInd w:val="0"/>
        <w:spacing w:after="0" w:line="240" w:lineRule="auto"/>
        <w:contextualSpacing/>
        <w:rPr>
          <w:rFonts w:cs="Arial"/>
          <w:b/>
          <w:bCs/>
          <w:sz w:val="20"/>
          <w:szCs w:val="20"/>
        </w:rPr>
      </w:pPr>
    </w:p>
    <w:p w14:paraId="27E9AF75" w14:textId="77777777" w:rsidR="006E21D4" w:rsidRPr="00A46F17" w:rsidRDefault="006E21D4" w:rsidP="00A823BF">
      <w:pPr>
        <w:autoSpaceDE w:val="0"/>
        <w:autoSpaceDN w:val="0"/>
        <w:adjustRightInd w:val="0"/>
        <w:spacing w:after="0" w:line="240" w:lineRule="auto"/>
        <w:contextualSpacing/>
        <w:rPr>
          <w:rFonts w:cs="Arial"/>
          <w:b/>
          <w:bCs/>
          <w:sz w:val="20"/>
          <w:szCs w:val="20"/>
        </w:rPr>
      </w:pPr>
      <w:r w:rsidRPr="00A46F17">
        <w:rPr>
          <w:rFonts w:cs="Arial"/>
          <w:b/>
          <w:bCs/>
          <w:sz w:val="20"/>
          <w:szCs w:val="20"/>
        </w:rPr>
        <w:t>48 CFR, FAR Part 31, Contract Cost Principles and Procedures</w:t>
      </w:r>
    </w:p>
    <w:p w14:paraId="4AFCE2FC" w14:textId="77777777" w:rsidR="003E0E1B" w:rsidRPr="00122CE1" w:rsidRDefault="00122CE1" w:rsidP="00A823BF">
      <w:pPr>
        <w:autoSpaceDE w:val="0"/>
        <w:autoSpaceDN w:val="0"/>
        <w:adjustRightInd w:val="0"/>
        <w:spacing w:after="0" w:line="240" w:lineRule="auto"/>
        <w:contextualSpacing/>
        <w:rPr>
          <w:rStyle w:val="Hyperlink"/>
          <w:sz w:val="20"/>
          <w:szCs w:val="20"/>
        </w:rPr>
      </w:pPr>
      <w:r>
        <w:rPr>
          <w:sz w:val="20"/>
          <w:szCs w:val="20"/>
        </w:rPr>
        <w:fldChar w:fldCharType="begin"/>
      </w:r>
      <w:r>
        <w:rPr>
          <w:sz w:val="20"/>
          <w:szCs w:val="20"/>
        </w:rPr>
        <w:instrText xml:space="preserve"> HYPERLINK "https://www.ecfr.gov/cgi-bin/text-idx?tpl=/ecfrbrowse/Title48/48cfr31_main_02.tpl" </w:instrText>
      </w:r>
      <w:r>
        <w:rPr>
          <w:sz w:val="20"/>
          <w:szCs w:val="20"/>
        </w:rPr>
        <w:fldChar w:fldCharType="separate"/>
      </w:r>
      <w:r w:rsidRPr="00122CE1">
        <w:rPr>
          <w:rStyle w:val="Hyperlink"/>
          <w:sz w:val="20"/>
          <w:szCs w:val="20"/>
        </w:rPr>
        <w:t>https://www.ecfr.gov/cgi-bin/text-idx?rgn=div5&amp;node=23:1.0.1.2.3</w:t>
      </w:r>
      <w:r w:rsidR="003E0E1B" w:rsidRPr="00122CE1">
        <w:rPr>
          <w:rStyle w:val="Hyperlink"/>
          <w:rFonts w:cs="Arial"/>
          <w:bCs/>
          <w:sz w:val="20"/>
          <w:szCs w:val="20"/>
        </w:rPr>
        <w:t xml:space="preserve"> </w:t>
      </w:r>
    </w:p>
    <w:p w14:paraId="629CC253" w14:textId="77777777" w:rsidR="006E21D4" w:rsidRPr="00A46F17" w:rsidRDefault="00122CE1" w:rsidP="00A823BF">
      <w:pPr>
        <w:autoSpaceDE w:val="0"/>
        <w:autoSpaceDN w:val="0"/>
        <w:adjustRightInd w:val="0"/>
        <w:spacing w:after="0" w:line="240" w:lineRule="auto"/>
        <w:contextualSpacing/>
        <w:rPr>
          <w:rFonts w:cs="Garamond"/>
          <w:sz w:val="20"/>
          <w:szCs w:val="20"/>
        </w:rPr>
      </w:pPr>
      <w:r>
        <w:rPr>
          <w:sz w:val="20"/>
          <w:szCs w:val="20"/>
        </w:rPr>
        <w:lastRenderedPageBreak/>
        <w:fldChar w:fldCharType="end"/>
      </w:r>
      <w:r w:rsidR="006E21D4" w:rsidRPr="00A46F17">
        <w:rPr>
          <w:rFonts w:cs="Garamond"/>
          <w:sz w:val="20"/>
          <w:szCs w:val="20"/>
        </w:rPr>
        <w:t xml:space="preserve">Sets the criteria for allowable and unallowable costs for federally funded third party </w:t>
      </w:r>
      <w:r w:rsidR="003E0E1B" w:rsidRPr="00A46F17">
        <w:rPr>
          <w:rFonts w:cs="Garamond"/>
          <w:sz w:val="20"/>
          <w:szCs w:val="20"/>
        </w:rPr>
        <w:t>agreements</w:t>
      </w:r>
    </w:p>
    <w:p w14:paraId="32D7CFC2" w14:textId="77777777" w:rsidR="00A34423" w:rsidRDefault="00A34423" w:rsidP="00A823BF">
      <w:pPr>
        <w:spacing w:after="0" w:line="240" w:lineRule="auto"/>
        <w:contextualSpacing/>
        <w:rPr>
          <w:sz w:val="20"/>
          <w:szCs w:val="20"/>
        </w:rPr>
      </w:pPr>
    </w:p>
    <w:p w14:paraId="1C4A04A5" w14:textId="77777777" w:rsidR="005161D0" w:rsidRPr="005161D0" w:rsidRDefault="005161D0" w:rsidP="00A823BF">
      <w:pPr>
        <w:spacing w:after="0" w:line="240" w:lineRule="auto"/>
        <w:contextualSpacing/>
        <w:rPr>
          <w:b/>
          <w:sz w:val="20"/>
          <w:szCs w:val="20"/>
        </w:rPr>
      </w:pPr>
      <w:r w:rsidRPr="005161D0">
        <w:rPr>
          <w:b/>
          <w:sz w:val="20"/>
          <w:szCs w:val="20"/>
        </w:rPr>
        <w:t>23 CFR 172</w:t>
      </w:r>
    </w:p>
    <w:p w14:paraId="5EA0E623" w14:textId="77777777" w:rsidR="005161D0" w:rsidRDefault="00002A73" w:rsidP="00A823BF">
      <w:pPr>
        <w:spacing w:after="0" w:line="240" w:lineRule="auto"/>
        <w:contextualSpacing/>
        <w:rPr>
          <w:sz w:val="20"/>
          <w:szCs w:val="20"/>
        </w:rPr>
      </w:pPr>
      <w:hyperlink r:id="rId15" w:history="1">
        <w:r w:rsidR="005161D0" w:rsidRPr="00AA47A3">
          <w:rPr>
            <w:rStyle w:val="Hyperlink"/>
            <w:sz w:val="20"/>
            <w:szCs w:val="20"/>
          </w:rPr>
          <w:t>http://www.ecfr.gov/cgi-bin/text-idx?rgn=div5&amp;node=23:1.0.1.2.3</w:t>
        </w:r>
      </w:hyperlink>
    </w:p>
    <w:p w14:paraId="5DA9AF65" w14:textId="77777777" w:rsidR="005161D0" w:rsidRPr="00A46F17" w:rsidRDefault="005161D0" w:rsidP="00A823BF">
      <w:pPr>
        <w:spacing w:after="0" w:line="240" w:lineRule="auto"/>
        <w:contextualSpacing/>
        <w:rPr>
          <w:sz w:val="20"/>
          <w:szCs w:val="20"/>
        </w:rPr>
      </w:pPr>
    </w:p>
    <w:p w14:paraId="51BA97FF" w14:textId="77777777" w:rsidR="004F0216" w:rsidRDefault="004F0216" w:rsidP="00A823BF">
      <w:pPr>
        <w:spacing w:after="0" w:line="240" w:lineRule="auto"/>
        <w:contextualSpacing/>
        <w:rPr>
          <w:b/>
          <w:sz w:val="20"/>
          <w:szCs w:val="20"/>
        </w:rPr>
      </w:pPr>
    </w:p>
    <w:p w14:paraId="00CEC89B" w14:textId="77777777" w:rsidR="002410BF" w:rsidRDefault="005161D0" w:rsidP="00A823BF">
      <w:pPr>
        <w:spacing w:after="0" w:line="240" w:lineRule="auto"/>
        <w:contextualSpacing/>
        <w:rPr>
          <w:b/>
          <w:sz w:val="20"/>
          <w:szCs w:val="20"/>
        </w:rPr>
      </w:pPr>
      <w:r>
        <w:rPr>
          <w:b/>
          <w:sz w:val="20"/>
          <w:szCs w:val="20"/>
        </w:rPr>
        <w:t>Procuring Consultant Services</w:t>
      </w:r>
      <w:r w:rsidR="00D77EA1" w:rsidRPr="00A46F17">
        <w:rPr>
          <w:b/>
          <w:sz w:val="20"/>
          <w:szCs w:val="20"/>
        </w:rPr>
        <w:t xml:space="preserve"> </w:t>
      </w:r>
      <w:r>
        <w:rPr>
          <w:b/>
          <w:sz w:val="20"/>
          <w:szCs w:val="20"/>
        </w:rPr>
        <w:t>DOT-P&amp;E-AD-1.</w:t>
      </w:r>
      <w:r w:rsidR="002410BF">
        <w:rPr>
          <w:b/>
          <w:sz w:val="20"/>
          <w:szCs w:val="20"/>
        </w:rPr>
        <w:t>4</w:t>
      </w:r>
    </w:p>
    <w:p w14:paraId="5C7D058F" w14:textId="26400364" w:rsidR="002410BF" w:rsidRDefault="00002A73" w:rsidP="00A823BF">
      <w:pPr>
        <w:spacing w:after="0" w:line="240" w:lineRule="auto"/>
        <w:contextualSpacing/>
        <w:rPr>
          <w:b/>
          <w:sz w:val="20"/>
          <w:szCs w:val="20"/>
        </w:rPr>
      </w:pPr>
      <w:hyperlink r:id="rId16" w:history="1">
        <w:r w:rsidR="002410BF" w:rsidRPr="00C020F6">
          <w:rPr>
            <w:rStyle w:val="Hyperlink"/>
            <w:b/>
            <w:sz w:val="20"/>
            <w:szCs w:val="20"/>
          </w:rPr>
          <w:t>https://intapps.sd.gov/hm90Policy/detail.aspx?args=34FFC166EE4CFBCC3EBFE3608327B464724D822E1E00ABAC</w:t>
        </w:r>
      </w:hyperlink>
    </w:p>
    <w:p w14:paraId="3E75EC1D" w14:textId="77777777" w:rsidR="00671CF5" w:rsidRDefault="00671CF5" w:rsidP="00A823BF">
      <w:pPr>
        <w:spacing w:after="0" w:line="240" w:lineRule="auto"/>
        <w:contextualSpacing/>
        <w:rPr>
          <w:b/>
          <w:sz w:val="20"/>
          <w:szCs w:val="20"/>
        </w:rPr>
      </w:pPr>
    </w:p>
    <w:p w14:paraId="4CEFE53C" w14:textId="77777777" w:rsidR="00FF07D6" w:rsidRPr="00A46F17" w:rsidRDefault="00FF07D6" w:rsidP="00A823BF">
      <w:pPr>
        <w:spacing w:after="0" w:line="240" w:lineRule="auto"/>
        <w:contextualSpacing/>
        <w:rPr>
          <w:b/>
          <w:sz w:val="20"/>
          <w:szCs w:val="20"/>
        </w:rPr>
      </w:pPr>
      <w:r w:rsidRPr="00A46F17">
        <w:rPr>
          <w:b/>
          <w:sz w:val="20"/>
          <w:szCs w:val="20"/>
        </w:rPr>
        <w:t>Additional Information for Consultant Services</w:t>
      </w:r>
    </w:p>
    <w:p w14:paraId="42679E12" w14:textId="51A367FB" w:rsidR="002410BF" w:rsidRDefault="00002A73" w:rsidP="00A823BF">
      <w:pPr>
        <w:spacing w:after="0" w:line="240" w:lineRule="auto"/>
        <w:contextualSpacing/>
        <w:rPr>
          <w:rStyle w:val="Hyperlink"/>
          <w:color w:val="auto"/>
          <w:u w:val="none"/>
        </w:rPr>
      </w:pPr>
      <w:hyperlink r:id="rId17" w:history="1">
        <w:r w:rsidR="002410BF" w:rsidRPr="00C020F6">
          <w:rPr>
            <w:rStyle w:val="Hyperlink"/>
          </w:rPr>
          <w:t>https://dot.sd.gov/doing-business/engineering/design-services/consultant-services</w:t>
        </w:r>
      </w:hyperlink>
      <w:r w:rsidR="002410BF" w:rsidRPr="002410BF">
        <w:rPr>
          <w:rStyle w:val="Hyperlink"/>
          <w:color w:val="auto"/>
          <w:u w:val="none"/>
        </w:rPr>
        <w:t xml:space="preserve"> </w:t>
      </w:r>
    </w:p>
    <w:p w14:paraId="4239F40B" w14:textId="77777777" w:rsidR="002410BF" w:rsidRDefault="002410BF" w:rsidP="00A823BF">
      <w:pPr>
        <w:spacing w:after="0" w:line="240" w:lineRule="auto"/>
        <w:contextualSpacing/>
        <w:rPr>
          <w:rStyle w:val="Hyperlink"/>
          <w:color w:val="auto"/>
          <w:u w:val="none"/>
        </w:rPr>
      </w:pPr>
    </w:p>
    <w:p w14:paraId="2FD9AABD" w14:textId="1C27E99D" w:rsidR="00003B66" w:rsidRPr="00A46F17" w:rsidRDefault="00003B66" w:rsidP="00A823BF">
      <w:pPr>
        <w:spacing w:after="0" w:line="240" w:lineRule="auto"/>
        <w:contextualSpacing/>
        <w:rPr>
          <w:rStyle w:val="Hyperlink"/>
          <w:b/>
          <w:color w:val="auto"/>
          <w:sz w:val="20"/>
          <w:szCs w:val="20"/>
          <w:u w:val="none"/>
        </w:rPr>
      </w:pPr>
      <w:r w:rsidRPr="00A46F17">
        <w:rPr>
          <w:rStyle w:val="Hyperlink"/>
          <w:b/>
          <w:color w:val="auto"/>
          <w:sz w:val="20"/>
          <w:szCs w:val="20"/>
          <w:u w:val="none"/>
        </w:rPr>
        <w:t>GASB</w:t>
      </w:r>
    </w:p>
    <w:p w14:paraId="4C77E80E" w14:textId="77777777" w:rsidR="00003B66" w:rsidRPr="00A46F17" w:rsidRDefault="00002A73" w:rsidP="00A823BF">
      <w:pPr>
        <w:spacing w:after="0" w:line="240" w:lineRule="auto"/>
        <w:contextualSpacing/>
        <w:rPr>
          <w:rStyle w:val="Hyperlink"/>
          <w:sz w:val="20"/>
          <w:szCs w:val="20"/>
        </w:rPr>
      </w:pPr>
      <w:hyperlink r:id="rId18" w:history="1">
        <w:r w:rsidR="00003B66" w:rsidRPr="00A46F17">
          <w:rPr>
            <w:rStyle w:val="Hyperlink"/>
            <w:sz w:val="20"/>
            <w:szCs w:val="20"/>
          </w:rPr>
          <w:t>http://www.gasb.org/</w:t>
        </w:r>
      </w:hyperlink>
    </w:p>
    <w:p w14:paraId="2F0E414C" w14:textId="77777777" w:rsidR="00003B66" w:rsidRPr="00A46F17" w:rsidRDefault="00003B66" w:rsidP="00A823BF">
      <w:pPr>
        <w:spacing w:after="0" w:line="240" w:lineRule="auto"/>
        <w:contextualSpacing/>
        <w:rPr>
          <w:rStyle w:val="Hyperlink"/>
          <w:sz w:val="20"/>
          <w:szCs w:val="20"/>
        </w:rPr>
      </w:pPr>
    </w:p>
    <w:p w14:paraId="50EBBCC7" w14:textId="77777777" w:rsidR="00003B66" w:rsidRPr="00A46F17" w:rsidRDefault="00003B66" w:rsidP="00A823BF">
      <w:pPr>
        <w:spacing w:after="0" w:line="240" w:lineRule="auto"/>
        <w:contextualSpacing/>
        <w:rPr>
          <w:rStyle w:val="Hyperlink"/>
          <w:b/>
          <w:color w:val="auto"/>
          <w:sz w:val="20"/>
          <w:szCs w:val="20"/>
          <w:u w:val="none"/>
        </w:rPr>
      </w:pPr>
      <w:r w:rsidRPr="00A46F17">
        <w:rPr>
          <w:rStyle w:val="Hyperlink"/>
          <w:b/>
          <w:color w:val="auto"/>
          <w:sz w:val="20"/>
          <w:szCs w:val="20"/>
          <w:u w:val="none"/>
        </w:rPr>
        <w:t>Yellowbook</w:t>
      </w:r>
    </w:p>
    <w:p w14:paraId="7EB5F2A9" w14:textId="77777777" w:rsidR="00003B66" w:rsidRPr="00A46F17" w:rsidRDefault="00002A73" w:rsidP="00A823BF">
      <w:pPr>
        <w:spacing w:after="0" w:line="240" w:lineRule="auto"/>
        <w:contextualSpacing/>
        <w:rPr>
          <w:rStyle w:val="Hyperlink"/>
          <w:sz w:val="20"/>
          <w:szCs w:val="20"/>
        </w:rPr>
      </w:pPr>
      <w:hyperlink r:id="rId19" w:history="1">
        <w:r w:rsidR="00C1040A" w:rsidRPr="00A46F17">
          <w:rPr>
            <w:rStyle w:val="Hyperlink"/>
            <w:sz w:val="20"/>
            <w:szCs w:val="20"/>
          </w:rPr>
          <w:t>http://www.gao.gov/yellowbook/overview</w:t>
        </w:r>
      </w:hyperlink>
    </w:p>
    <w:p w14:paraId="252B2B77" w14:textId="77777777" w:rsidR="00C1040A" w:rsidRPr="00A46F17" w:rsidRDefault="00C1040A" w:rsidP="00A823BF">
      <w:pPr>
        <w:spacing w:after="0" w:line="240" w:lineRule="auto"/>
        <w:contextualSpacing/>
        <w:rPr>
          <w:rStyle w:val="Hyperlink"/>
          <w:sz w:val="20"/>
          <w:szCs w:val="20"/>
        </w:rPr>
      </w:pPr>
    </w:p>
    <w:p w14:paraId="042F47A1" w14:textId="77777777" w:rsidR="00C1040A" w:rsidRPr="00A46F17" w:rsidRDefault="00C1040A" w:rsidP="00A823BF">
      <w:pPr>
        <w:spacing w:after="0" w:line="240" w:lineRule="auto"/>
        <w:contextualSpacing/>
        <w:rPr>
          <w:rStyle w:val="Hyperlink"/>
          <w:b/>
          <w:color w:val="auto"/>
          <w:sz w:val="20"/>
          <w:szCs w:val="20"/>
          <w:u w:val="none"/>
        </w:rPr>
      </w:pPr>
      <w:r w:rsidRPr="00A46F17">
        <w:rPr>
          <w:rStyle w:val="Hyperlink"/>
          <w:b/>
          <w:color w:val="auto"/>
          <w:sz w:val="20"/>
          <w:szCs w:val="20"/>
          <w:u w:val="none"/>
        </w:rPr>
        <w:t xml:space="preserve">OMB </w:t>
      </w:r>
      <w:r w:rsidR="00042178" w:rsidRPr="00A46F17">
        <w:rPr>
          <w:rStyle w:val="Hyperlink"/>
          <w:b/>
          <w:color w:val="auto"/>
          <w:sz w:val="20"/>
          <w:szCs w:val="20"/>
          <w:u w:val="none"/>
        </w:rPr>
        <w:t>Circulars</w:t>
      </w:r>
    </w:p>
    <w:p w14:paraId="24DBA556" w14:textId="77777777" w:rsidR="00C1040A" w:rsidRPr="00D43ADB" w:rsidRDefault="00002A73" w:rsidP="00A823BF">
      <w:pPr>
        <w:spacing w:after="0" w:line="240" w:lineRule="auto"/>
        <w:contextualSpacing/>
        <w:rPr>
          <w:rStyle w:val="Hyperlink"/>
          <w:sz w:val="20"/>
          <w:szCs w:val="20"/>
        </w:rPr>
      </w:pPr>
      <w:hyperlink r:id="rId20" w:history="1">
        <w:r w:rsidR="00D43ADB" w:rsidRPr="00D43ADB">
          <w:rPr>
            <w:rStyle w:val="Hyperlink"/>
            <w:sz w:val="20"/>
            <w:szCs w:val="20"/>
          </w:rPr>
          <w:t>Circulars</w:t>
        </w:r>
      </w:hyperlink>
    </w:p>
    <w:p w14:paraId="1962906A" w14:textId="77777777" w:rsidR="00D62D10" w:rsidRPr="00A46F17" w:rsidRDefault="00D62D10" w:rsidP="00A823BF">
      <w:pPr>
        <w:spacing w:after="0" w:line="240" w:lineRule="auto"/>
        <w:contextualSpacing/>
        <w:rPr>
          <w:rStyle w:val="Hyperlink"/>
          <w:sz w:val="20"/>
          <w:szCs w:val="20"/>
        </w:rPr>
      </w:pPr>
    </w:p>
    <w:p w14:paraId="754AE083" w14:textId="77777777" w:rsidR="00D62D10" w:rsidRPr="00A46F17" w:rsidRDefault="00D62D10" w:rsidP="00A823BF">
      <w:pPr>
        <w:spacing w:after="0" w:line="240" w:lineRule="auto"/>
        <w:contextualSpacing/>
        <w:rPr>
          <w:rStyle w:val="Hyperlink"/>
          <w:b/>
          <w:color w:val="auto"/>
          <w:sz w:val="20"/>
          <w:szCs w:val="20"/>
          <w:u w:val="none"/>
        </w:rPr>
      </w:pPr>
      <w:r w:rsidRPr="00A46F17">
        <w:rPr>
          <w:rStyle w:val="Hyperlink"/>
          <w:b/>
          <w:color w:val="auto"/>
          <w:sz w:val="20"/>
          <w:szCs w:val="20"/>
          <w:u w:val="none"/>
        </w:rPr>
        <w:t>Brooks Act</w:t>
      </w:r>
    </w:p>
    <w:p w14:paraId="5493EFA9" w14:textId="77777777" w:rsidR="00D62D10" w:rsidRPr="00A46F17" w:rsidRDefault="00002A73" w:rsidP="00A823BF">
      <w:pPr>
        <w:spacing w:after="0" w:line="240" w:lineRule="auto"/>
        <w:contextualSpacing/>
        <w:rPr>
          <w:rStyle w:val="Hyperlink"/>
          <w:sz w:val="20"/>
          <w:szCs w:val="20"/>
        </w:rPr>
      </w:pPr>
      <w:hyperlink r:id="rId21" w:history="1">
        <w:r w:rsidR="00D62D10" w:rsidRPr="00A46F17">
          <w:rPr>
            <w:rStyle w:val="Hyperlink"/>
            <w:sz w:val="20"/>
            <w:szCs w:val="20"/>
          </w:rPr>
          <w:t>http://www.fhwa.dot.gov/programadmin/121205.cfm</w:t>
        </w:r>
      </w:hyperlink>
    </w:p>
    <w:p w14:paraId="4A5DF9CA" w14:textId="77777777" w:rsidR="00756B7D" w:rsidRDefault="00756B7D" w:rsidP="00A823BF">
      <w:pPr>
        <w:spacing w:after="0" w:line="360" w:lineRule="auto"/>
        <w:contextualSpacing/>
        <w:rPr>
          <w:b/>
          <w:sz w:val="28"/>
          <w:szCs w:val="28"/>
        </w:rPr>
      </w:pPr>
    </w:p>
    <w:p w14:paraId="12449A98" w14:textId="50C912E2" w:rsidR="004F50B8" w:rsidRPr="00A46F17" w:rsidRDefault="00436ADA" w:rsidP="00A823BF">
      <w:pPr>
        <w:spacing w:after="0" w:line="360" w:lineRule="auto"/>
        <w:contextualSpacing/>
        <w:rPr>
          <w:b/>
          <w:sz w:val="28"/>
          <w:szCs w:val="28"/>
        </w:rPr>
      </w:pPr>
      <w:r w:rsidRPr="00A46F17">
        <w:rPr>
          <w:b/>
          <w:sz w:val="28"/>
          <w:szCs w:val="28"/>
        </w:rPr>
        <w:t>X</w:t>
      </w:r>
      <w:r w:rsidR="00623C14">
        <w:rPr>
          <w:b/>
          <w:sz w:val="28"/>
          <w:szCs w:val="28"/>
        </w:rPr>
        <w:t>I</w:t>
      </w:r>
      <w:r w:rsidR="000B02C0">
        <w:rPr>
          <w:b/>
          <w:sz w:val="28"/>
          <w:szCs w:val="28"/>
        </w:rPr>
        <w:t>I</w:t>
      </w:r>
      <w:r w:rsidR="00BC7518">
        <w:rPr>
          <w:b/>
          <w:sz w:val="28"/>
          <w:szCs w:val="28"/>
        </w:rPr>
        <w:t>I</w:t>
      </w:r>
      <w:r w:rsidR="004F50B8" w:rsidRPr="00A46F17">
        <w:rPr>
          <w:b/>
          <w:sz w:val="28"/>
          <w:szCs w:val="28"/>
        </w:rPr>
        <w:t xml:space="preserve">. </w:t>
      </w:r>
      <w:r w:rsidR="0021438C" w:rsidRPr="00A46F17">
        <w:rPr>
          <w:b/>
          <w:sz w:val="28"/>
          <w:szCs w:val="28"/>
        </w:rPr>
        <w:t xml:space="preserve">Audits </w:t>
      </w:r>
      <w:r w:rsidR="00A5509C">
        <w:rPr>
          <w:b/>
          <w:sz w:val="28"/>
          <w:szCs w:val="28"/>
        </w:rPr>
        <w:t>Team</w:t>
      </w:r>
    </w:p>
    <w:p w14:paraId="6CEB7562" w14:textId="77777777" w:rsidR="004F50B8" w:rsidRPr="00A46F17" w:rsidRDefault="00D0444F" w:rsidP="00A823BF">
      <w:pPr>
        <w:spacing w:after="0" w:line="240" w:lineRule="auto"/>
        <w:contextualSpacing/>
        <w:rPr>
          <w:b/>
        </w:rPr>
      </w:pPr>
      <w:r w:rsidRPr="00A46F17">
        <w:rPr>
          <w:b/>
        </w:rPr>
        <w:t>Audit Reviewers:</w:t>
      </w:r>
    </w:p>
    <w:p w14:paraId="20032B56" w14:textId="77777777" w:rsidR="00AD3804" w:rsidRPr="00A46F17" w:rsidRDefault="00AD3804" w:rsidP="00A823BF">
      <w:pPr>
        <w:spacing w:after="0" w:line="240" w:lineRule="auto"/>
        <w:contextualSpacing/>
      </w:pPr>
      <w:r w:rsidRPr="00A46F17">
        <w:t>Rip Ray – Auditor III</w:t>
      </w:r>
    </w:p>
    <w:p w14:paraId="51018257" w14:textId="77777777" w:rsidR="004F50B8" w:rsidRDefault="004F50B8" w:rsidP="00A823BF">
      <w:pPr>
        <w:spacing w:after="0" w:line="240" w:lineRule="auto"/>
        <w:contextualSpacing/>
      </w:pPr>
      <w:r w:rsidRPr="00A46F17">
        <w:t>Jana Uhrig – Auditor I</w:t>
      </w:r>
      <w:r w:rsidR="00D43ADB">
        <w:t>I</w:t>
      </w:r>
    </w:p>
    <w:p w14:paraId="41F2149A" w14:textId="77777777" w:rsidR="00EF648C" w:rsidRPr="00A46F17" w:rsidRDefault="00EF648C" w:rsidP="00A823BF">
      <w:pPr>
        <w:spacing w:after="0" w:line="240" w:lineRule="auto"/>
        <w:contextualSpacing/>
      </w:pPr>
      <w:r>
        <w:t>Rochelle Grambihler – Auditor I</w:t>
      </w:r>
    </w:p>
    <w:p w14:paraId="3A728828" w14:textId="77777777" w:rsidR="004F50B8" w:rsidRPr="00A46F17" w:rsidRDefault="004F50B8" w:rsidP="00A823BF">
      <w:pPr>
        <w:spacing w:after="0" w:line="240" w:lineRule="auto"/>
        <w:contextualSpacing/>
        <w:rPr>
          <w:b/>
          <w:sz w:val="28"/>
          <w:szCs w:val="28"/>
        </w:rPr>
      </w:pPr>
    </w:p>
    <w:p w14:paraId="56DE26BE" w14:textId="77777777" w:rsidR="0062472D" w:rsidRPr="00A46F17" w:rsidRDefault="00DF1754" w:rsidP="00A823BF">
      <w:pPr>
        <w:spacing w:after="0" w:line="240" w:lineRule="auto"/>
        <w:contextualSpacing/>
        <w:rPr>
          <w:b/>
          <w:sz w:val="28"/>
          <w:szCs w:val="28"/>
        </w:rPr>
      </w:pPr>
      <w:r w:rsidRPr="00A46F17">
        <w:rPr>
          <w:b/>
          <w:sz w:val="28"/>
          <w:szCs w:val="28"/>
        </w:rPr>
        <w:t>X</w:t>
      </w:r>
      <w:r w:rsidR="00F2658A" w:rsidRPr="00A46F17">
        <w:rPr>
          <w:b/>
          <w:sz w:val="28"/>
          <w:szCs w:val="28"/>
        </w:rPr>
        <w:t>I</w:t>
      </w:r>
      <w:r w:rsidR="00BC7518">
        <w:rPr>
          <w:b/>
          <w:sz w:val="28"/>
          <w:szCs w:val="28"/>
        </w:rPr>
        <w:t>V</w:t>
      </w:r>
      <w:r w:rsidR="0062472D" w:rsidRPr="00A46F17">
        <w:rPr>
          <w:b/>
          <w:sz w:val="28"/>
          <w:szCs w:val="28"/>
        </w:rPr>
        <w:t>. Definitions</w:t>
      </w:r>
    </w:p>
    <w:p w14:paraId="23813A6A" w14:textId="77777777" w:rsidR="0062472D" w:rsidRPr="00A46F17" w:rsidRDefault="0062472D" w:rsidP="00A823BF">
      <w:pPr>
        <w:autoSpaceDE w:val="0"/>
        <w:autoSpaceDN w:val="0"/>
        <w:adjustRightInd w:val="0"/>
        <w:spacing w:after="0" w:line="240" w:lineRule="auto"/>
        <w:contextualSpacing/>
        <w:rPr>
          <w:rFonts w:cs="Arial"/>
          <w:b/>
          <w:bCs/>
        </w:rPr>
      </w:pPr>
    </w:p>
    <w:p w14:paraId="2FAAC3DC" w14:textId="77777777" w:rsidR="0062472D" w:rsidRPr="00A46F17" w:rsidRDefault="0062472D" w:rsidP="00A823BF">
      <w:pPr>
        <w:spacing w:after="0" w:line="240" w:lineRule="auto"/>
        <w:contextualSpacing/>
        <w:rPr>
          <w:b/>
        </w:rPr>
      </w:pPr>
      <w:r w:rsidRPr="00A46F17">
        <w:rPr>
          <w:b/>
        </w:rPr>
        <w:t>Amendment</w:t>
      </w:r>
    </w:p>
    <w:p w14:paraId="4528901C" w14:textId="77777777" w:rsidR="00003B66" w:rsidRPr="00A46F17" w:rsidRDefault="0062472D" w:rsidP="00A823BF">
      <w:pPr>
        <w:spacing w:after="0" w:line="240" w:lineRule="auto"/>
        <w:contextualSpacing/>
      </w:pPr>
      <w:r w:rsidRPr="00A46F17">
        <w:t>A change in the scope</w:t>
      </w:r>
      <w:r w:rsidR="00B2425B" w:rsidRPr="00A46F17">
        <w:t xml:space="preserve"> of work</w:t>
      </w:r>
    </w:p>
    <w:p w14:paraId="402D5D0F" w14:textId="77777777" w:rsidR="00003B66" w:rsidRPr="00A46F17" w:rsidRDefault="00003B66" w:rsidP="00A823BF">
      <w:pPr>
        <w:spacing w:after="0" w:line="240" w:lineRule="auto"/>
        <w:contextualSpacing/>
        <w:rPr>
          <w:b/>
        </w:rPr>
      </w:pPr>
    </w:p>
    <w:p w14:paraId="2757EEF4" w14:textId="77777777" w:rsidR="0062472D" w:rsidRPr="00A46F17" w:rsidRDefault="0062472D" w:rsidP="00A823BF">
      <w:pPr>
        <w:spacing w:after="0" w:line="240" w:lineRule="auto"/>
        <w:contextualSpacing/>
        <w:rPr>
          <w:b/>
        </w:rPr>
      </w:pPr>
      <w:r w:rsidRPr="00A46F17">
        <w:rPr>
          <w:b/>
        </w:rPr>
        <w:t>Cost of Money</w:t>
      </w:r>
      <w:r w:rsidR="00060EF1" w:rsidRPr="00A46F17">
        <w:rPr>
          <w:b/>
        </w:rPr>
        <w:t xml:space="preserve"> (Facilities Capital Cost of Money FCCM)</w:t>
      </w:r>
    </w:p>
    <w:p w14:paraId="7376CCB2" w14:textId="77777777" w:rsidR="0062472D" w:rsidRPr="00A46F17" w:rsidRDefault="0062472D" w:rsidP="00A823BF">
      <w:pPr>
        <w:spacing w:after="0" w:line="240" w:lineRule="auto"/>
        <w:contextualSpacing/>
      </w:pPr>
      <w:r w:rsidRPr="00A46F17">
        <w:t xml:space="preserve">The </w:t>
      </w:r>
      <w:hyperlink r:id="rId22" w:history="1">
        <w:r w:rsidRPr="00A46F17">
          <w:rPr>
            <w:rStyle w:val="Hyperlink"/>
            <w:color w:val="auto"/>
            <w:u w:val="none"/>
          </w:rPr>
          <w:t>amount</w:t>
        </w:r>
      </w:hyperlink>
      <w:r w:rsidRPr="00A46F17">
        <w:t xml:space="preserve"> of </w:t>
      </w:r>
      <w:hyperlink r:id="rId23" w:history="1">
        <w:r w:rsidRPr="00A46F17">
          <w:rPr>
            <w:rStyle w:val="Hyperlink"/>
            <w:color w:val="auto"/>
            <w:u w:val="none"/>
          </w:rPr>
          <w:t>profit</w:t>
        </w:r>
      </w:hyperlink>
      <w:r w:rsidRPr="00A46F17">
        <w:t xml:space="preserve"> that could be generated from </w:t>
      </w:r>
      <w:hyperlink r:id="rId24" w:history="1">
        <w:r w:rsidRPr="00A46F17">
          <w:rPr>
            <w:rStyle w:val="Hyperlink"/>
            <w:color w:val="auto"/>
            <w:u w:val="none"/>
          </w:rPr>
          <w:t>interest</w:t>
        </w:r>
      </w:hyperlink>
      <w:r w:rsidRPr="00A46F17">
        <w:t xml:space="preserve"> </w:t>
      </w:r>
      <w:hyperlink r:id="rId25" w:history="1">
        <w:r w:rsidRPr="00A46F17">
          <w:rPr>
            <w:rStyle w:val="Hyperlink"/>
            <w:color w:val="auto"/>
            <w:u w:val="none"/>
          </w:rPr>
          <w:t>payments</w:t>
        </w:r>
      </w:hyperlink>
      <w:r w:rsidRPr="00A46F17">
        <w:t xml:space="preserve"> on a given amount of </w:t>
      </w:r>
      <w:hyperlink r:id="rId26" w:history="1">
        <w:r w:rsidRPr="00A46F17">
          <w:rPr>
            <w:rStyle w:val="Hyperlink"/>
            <w:color w:val="auto"/>
            <w:u w:val="none"/>
          </w:rPr>
          <w:t>money</w:t>
        </w:r>
      </w:hyperlink>
      <w:r w:rsidR="00EB09A3" w:rsidRPr="00A46F17">
        <w:t>;</w:t>
      </w:r>
      <w:r w:rsidRPr="00A46F17">
        <w:br/>
        <w:t>Based on direct labor; must be proposed as a separate line item in the original contract to be allowable.</w:t>
      </w:r>
    </w:p>
    <w:p w14:paraId="2F97C280" w14:textId="77777777" w:rsidR="00EB09A3" w:rsidRPr="00A46F17" w:rsidRDefault="00EB09A3" w:rsidP="00A823BF">
      <w:pPr>
        <w:spacing w:after="0" w:line="240" w:lineRule="auto"/>
        <w:contextualSpacing/>
      </w:pPr>
    </w:p>
    <w:p w14:paraId="6C0D6976" w14:textId="77777777" w:rsidR="00EB09A3" w:rsidRPr="00A46F17" w:rsidRDefault="00EB09A3" w:rsidP="00A823BF">
      <w:pPr>
        <w:autoSpaceDE w:val="0"/>
        <w:autoSpaceDN w:val="0"/>
        <w:adjustRightInd w:val="0"/>
        <w:spacing w:after="0" w:line="240" w:lineRule="auto"/>
        <w:contextualSpacing/>
        <w:rPr>
          <w:rFonts w:cs="Arial"/>
          <w:b/>
          <w:bCs/>
        </w:rPr>
      </w:pPr>
      <w:r w:rsidRPr="00A46F17">
        <w:rPr>
          <w:rFonts w:cs="Arial"/>
          <w:b/>
          <w:bCs/>
        </w:rPr>
        <w:t>Deliverables</w:t>
      </w:r>
    </w:p>
    <w:p w14:paraId="5993C036" w14:textId="77777777" w:rsidR="000C068B" w:rsidRDefault="00EB09A3" w:rsidP="00A823BF">
      <w:pPr>
        <w:autoSpaceDE w:val="0"/>
        <w:autoSpaceDN w:val="0"/>
        <w:adjustRightInd w:val="0"/>
        <w:spacing w:after="0" w:line="240" w:lineRule="auto"/>
        <w:contextualSpacing/>
        <w:rPr>
          <w:rFonts w:cs="Garamond"/>
        </w:rPr>
      </w:pPr>
      <w:r w:rsidRPr="00A46F17">
        <w:rPr>
          <w:rFonts w:cs="Garamond"/>
        </w:rPr>
        <w:t>A project management term for the quantifiable goods or services that will be provided upon the completion of a project</w:t>
      </w:r>
      <w:r w:rsidR="004F0216">
        <w:rPr>
          <w:rFonts w:cs="Garamond"/>
        </w:rPr>
        <w:t>.</w:t>
      </w:r>
    </w:p>
    <w:p w14:paraId="1441CAA3" w14:textId="77777777" w:rsidR="00F17BD7" w:rsidRPr="00A46F17" w:rsidRDefault="00F17BD7" w:rsidP="00A823BF">
      <w:pPr>
        <w:autoSpaceDE w:val="0"/>
        <w:autoSpaceDN w:val="0"/>
        <w:adjustRightInd w:val="0"/>
        <w:spacing w:after="0" w:line="240" w:lineRule="auto"/>
        <w:contextualSpacing/>
        <w:rPr>
          <w:rFonts w:cs="Garamond"/>
        </w:rPr>
      </w:pPr>
    </w:p>
    <w:p w14:paraId="3B077BB9" w14:textId="77777777" w:rsidR="000C068B" w:rsidRPr="00A46F17" w:rsidRDefault="000C068B" w:rsidP="00A823BF">
      <w:pPr>
        <w:autoSpaceDE w:val="0"/>
        <w:autoSpaceDN w:val="0"/>
        <w:adjustRightInd w:val="0"/>
        <w:spacing w:after="0" w:line="240" w:lineRule="auto"/>
        <w:contextualSpacing/>
        <w:rPr>
          <w:rFonts w:cs="Arial"/>
          <w:b/>
          <w:bCs/>
        </w:rPr>
      </w:pPr>
      <w:r w:rsidRPr="00A46F17">
        <w:rPr>
          <w:rFonts w:cs="Arial"/>
          <w:b/>
          <w:bCs/>
        </w:rPr>
        <w:t>Direct Cost</w:t>
      </w:r>
    </w:p>
    <w:p w14:paraId="29223E00" w14:textId="77777777" w:rsidR="000C068B" w:rsidRPr="00A46F17" w:rsidRDefault="000C068B" w:rsidP="00A823BF">
      <w:pPr>
        <w:autoSpaceDE w:val="0"/>
        <w:autoSpaceDN w:val="0"/>
        <w:adjustRightInd w:val="0"/>
        <w:spacing w:after="0" w:line="240" w:lineRule="auto"/>
        <w:contextualSpacing/>
        <w:rPr>
          <w:rFonts w:cs="Garamond"/>
        </w:rPr>
      </w:pPr>
      <w:r w:rsidRPr="00A46F17">
        <w:rPr>
          <w:rFonts w:cs="Garamond"/>
        </w:rPr>
        <w:lastRenderedPageBreak/>
        <w:t>Any cost that can be identified specifically with a particular final cost objective; that is, a project-related cost. Direct costs would include labor, materials, and reimbursable incurred specifically for an agreement. It is irrelevant whether the costs are actually billed.</w:t>
      </w:r>
    </w:p>
    <w:p w14:paraId="21B15F04" w14:textId="77777777" w:rsidR="00EB09A3" w:rsidRPr="00A46F17" w:rsidRDefault="00EB09A3" w:rsidP="00A823BF">
      <w:pPr>
        <w:autoSpaceDE w:val="0"/>
        <w:autoSpaceDN w:val="0"/>
        <w:adjustRightInd w:val="0"/>
        <w:spacing w:after="0" w:line="240" w:lineRule="auto"/>
        <w:contextualSpacing/>
        <w:rPr>
          <w:rFonts w:cs="Garamond"/>
        </w:rPr>
      </w:pPr>
    </w:p>
    <w:p w14:paraId="2C96EE34" w14:textId="77777777" w:rsidR="007610B0" w:rsidRPr="007610B0" w:rsidRDefault="007610B0" w:rsidP="00A823BF">
      <w:pPr>
        <w:contextualSpacing/>
        <w:rPr>
          <w:b/>
        </w:rPr>
      </w:pPr>
      <w:r w:rsidRPr="007610B0">
        <w:rPr>
          <w:b/>
        </w:rPr>
        <w:t>Desk Review (Off-site) Monitoring</w:t>
      </w:r>
    </w:p>
    <w:p w14:paraId="353CFAE3" w14:textId="77777777" w:rsidR="007610B0" w:rsidRDefault="007610B0" w:rsidP="00A823BF">
      <w:pPr>
        <w:contextualSpacing/>
      </w:pPr>
      <w:r>
        <w:t>Conducting Desk Review monitoring is defined when Audits performs a remote review of financial records and analysis of financial and programmatic information, either together or separately.  Financial and programmatic data is reviewed by the state agency in their office and may consist of communication by e-mail, mail, teleconference, or video conference.</w:t>
      </w:r>
    </w:p>
    <w:p w14:paraId="7F71A091" w14:textId="77777777" w:rsidR="00F17BD7" w:rsidRDefault="00F17BD7" w:rsidP="00A823BF">
      <w:pPr>
        <w:contextualSpacing/>
      </w:pPr>
    </w:p>
    <w:p w14:paraId="4529CD2B" w14:textId="77777777" w:rsidR="00EB09A3" w:rsidRPr="00A46F17" w:rsidRDefault="00EB09A3" w:rsidP="00A823BF">
      <w:pPr>
        <w:spacing w:after="0" w:line="240" w:lineRule="auto"/>
        <w:contextualSpacing/>
        <w:rPr>
          <w:b/>
        </w:rPr>
      </w:pPr>
      <w:r w:rsidRPr="00A46F17">
        <w:rPr>
          <w:b/>
        </w:rPr>
        <w:t>Fix</w:t>
      </w:r>
      <w:r w:rsidR="00C128C0" w:rsidRPr="00A46F17">
        <w:rPr>
          <w:b/>
        </w:rPr>
        <w:t>ed</w:t>
      </w:r>
      <w:r w:rsidRPr="00A46F17">
        <w:rPr>
          <w:b/>
        </w:rPr>
        <w:t xml:space="preserve"> Fee (profit)</w:t>
      </w:r>
    </w:p>
    <w:p w14:paraId="6FB0B313" w14:textId="77777777" w:rsidR="00EB09A3" w:rsidRPr="00A46F17" w:rsidRDefault="00EB09A3" w:rsidP="00A823BF">
      <w:pPr>
        <w:spacing w:after="0" w:line="240" w:lineRule="auto"/>
        <w:contextualSpacing/>
      </w:pPr>
      <w:r w:rsidRPr="00A46F17">
        <w:t xml:space="preserve">Based on the direct labor plus general overhead; becomes a lump sum once the contract or amendment is executed.  Maximum percentage that can be used during </w:t>
      </w:r>
      <w:r w:rsidR="00986AFD" w:rsidRPr="00A46F17">
        <w:t>negotiation</w:t>
      </w:r>
      <w:r w:rsidRPr="00A46F17">
        <w:t xml:space="preserve">s for engineering and engineering- related work is 15%.  DOT 924- Derivation of Profit </w:t>
      </w:r>
    </w:p>
    <w:p w14:paraId="68D2D28A" w14:textId="77777777" w:rsidR="0062472D" w:rsidRPr="00A46F17" w:rsidRDefault="0062472D" w:rsidP="00A823BF">
      <w:pPr>
        <w:autoSpaceDE w:val="0"/>
        <w:autoSpaceDN w:val="0"/>
        <w:adjustRightInd w:val="0"/>
        <w:spacing w:after="0" w:line="240" w:lineRule="auto"/>
        <w:contextualSpacing/>
        <w:rPr>
          <w:rFonts w:cs="Arial"/>
          <w:b/>
          <w:bCs/>
        </w:rPr>
      </w:pPr>
    </w:p>
    <w:p w14:paraId="7AE3F509" w14:textId="77777777" w:rsidR="00EB09A3" w:rsidRPr="00A46F17" w:rsidRDefault="00EB09A3" w:rsidP="00A823BF">
      <w:pPr>
        <w:autoSpaceDE w:val="0"/>
        <w:autoSpaceDN w:val="0"/>
        <w:adjustRightInd w:val="0"/>
        <w:spacing w:after="0" w:line="240" w:lineRule="auto"/>
        <w:contextualSpacing/>
        <w:rPr>
          <w:rFonts w:cs="Arial"/>
          <w:b/>
          <w:bCs/>
        </w:rPr>
      </w:pPr>
      <w:r w:rsidRPr="00A46F17">
        <w:rPr>
          <w:rFonts w:cs="Arial"/>
          <w:b/>
          <w:bCs/>
        </w:rPr>
        <w:t>Indirect Cost</w:t>
      </w:r>
    </w:p>
    <w:p w14:paraId="163C529B" w14:textId="77777777" w:rsidR="006900CA" w:rsidRDefault="00EB09A3" w:rsidP="00A823BF">
      <w:pPr>
        <w:autoSpaceDE w:val="0"/>
        <w:autoSpaceDN w:val="0"/>
        <w:adjustRightInd w:val="0"/>
        <w:spacing w:after="0" w:line="240" w:lineRule="auto"/>
        <w:contextualSpacing/>
        <w:rPr>
          <w:rFonts w:cs="Arial"/>
          <w:b/>
          <w:bCs/>
        </w:rPr>
      </w:pPr>
      <w:r w:rsidRPr="00A46F17">
        <w:rPr>
          <w:rFonts w:cs="Garamond"/>
        </w:rPr>
        <w:t>Any cost not directly identified with a single, final cost objective, but identified with two or more final cost objectives or an intermediate cost objective. Recipients recover their indirect costs in their overhead rate.</w:t>
      </w:r>
      <w:r w:rsidRPr="00A46F17">
        <w:rPr>
          <w:rFonts w:cs="Arial"/>
          <w:b/>
          <w:bCs/>
        </w:rPr>
        <w:t xml:space="preserve"> [References: FAR 31.202, FAR 31.203]</w:t>
      </w:r>
    </w:p>
    <w:p w14:paraId="2339D35C" w14:textId="77777777" w:rsidR="004969F5" w:rsidRDefault="004969F5" w:rsidP="00A823BF">
      <w:pPr>
        <w:autoSpaceDE w:val="0"/>
        <w:autoSpaceDN w:val="0"/>
        <w:adjustRightInd w:val="0"/>
        <w:spacing w:after="0" w:line="240" w:lineRule="auto"/>
        <w:contextualSpacing/>
        <w:rPr>
          <w:rFonts w:cs="Arial"/>
          <w:b/>
          <w:bCs/>
        </w:rPr>
      </w:pPr>
    </w:p>
    <w:p w14:paraId="7C6E3C19" w14:textId="77777777" w:rsidR="00070FF2" w:rsidRPr="00A46F17" w:rsidRDefault="00EB09A3" w:rsidP="00A823BF">
      <w:pPr>
        <w:autoSpaceDE w:val="0"/>
        <w:autoSpaceDN w:val="0"/>
        <w:adjustRightInd w:val="0"/>
        <w:spacing w:after="0" w:line="240" w:lineRule="auto"/>
        <w:contextualSpacing/>
        <w:rPr>
          <w:rFonts w:cs="Arial"/>
          <w:b/>
          <w:bCs/>
        </w:rPr>
      </w:pPr>
      <w:r w:rsidRPr="00A46F17">
        <w:rPr>
          <w:rFonts w:cs="Arial"/>
          <w:b/>
          <w:bCs/>
        </w:rPr>
        <w:t>Ineligible</w:t>
      </w:r>
      <w:r w:rsidR="00070FF2" w:rsidRPr="00A46F17">
        <w:rPr>
          <w:rFonts w:cs="Arial"/>
          <w:b/>
          <w:bCs/>
        </w:rPr>
        <w:t xml:space="preserve"> Cost</w:t>
      </w:r>
    </w:p>
    <w:p w14:paraId="2C047675" w14:textId="77777777" w:rsidR="00070FF2" w:rsidRPr="00A46F17" w:rsidRDefault="00070FF2" w:rsidP="00A823BF">
      <w:pPr>
        <w:autoSpaceDE w:val="0"/>
        <w:autoSpaceDN w:val="0"/>
        <w:adjustRightInd w:val="0"/>
        <w:spacing w:after="0" w:line="240" w:lineRule="auto"/>
        <w:contextualSpacing/>
        <w:rPr>
          <w:rFonts w:cs="Arial"/>
          <w:bCs/>
        </w:rPr>
      </w:pPr>
      <w:r w:rsidRPr="00A46F17">
        <w:rPr>
          <w:rFonts w:cs="Arial"/>
          <w:bCs/>
        </w:rPr>
        <w:t xml:space="preserve">Costs that </w:t>
      </w:r>
      <w:r w:rsidR="009E050B" w:rsidRPr="00A46F17">
        <w:rPr>
          <w:rFonts w:cs="Arial"/>
          <w:bCs/>
        </w:rPr>
        <w:t>are</w:t>
      </w:r>
      <w:r w:rsidRPr="00A46F17">
        <w:rPr>
          <w:rFonts w:cs="Arial"/>
          <w:bCs/>
        </w:rPr>
        <w:t xml:space="preserve"> not </w:t>
      </w:r>
      <w:r w:rsidR="009E050B" w:rsidRPr="00A46F17">
        <w:rPr>
          <w:rFonts w:cs="Arial"/>
          <w:bCs/>
        </w:rPr>
        <w:t>reimbursed no matter the situation</w:t>
      </w:r>
      <w:r w:rsidRPr="00A46F17">
        <w:rPr>
          <w:rFonts w:cs="Arial"/>
          <w:bCs/>
        </w:rPr>
        <w:t xml:space="preserve"> (ie – tips on a meal, sewer/water main, city/county project let with DOT project)</w:t>
      </w:r>
    </w:p>
    <w:p w14:paraId="42412538" w14:textId="77777777" w:rsidR="00070FF2" w:rsidRPr="00A46F17" w:rsidRDefault="00070FF2" w:rsidP="00A823BF">
      <w:pPr>
        <w:autoSpaceDE w:val="0"/>
        <w:autoSpaceDN w:val="0"/>
        <w:adjustRightInd w:val="0"/>
        <w:spacing w:after="0" w:line="240" w:lineRule="auto"/>
        <w:contextualSpacing/>
        <w:rPr>
          <w:rFonts w:cs="Arial"/>
          <w:b/>
          <w:bCs/>
        </w:rPr>
      </w:pPr>
    </w:p>
    <w:p w14:paraId="583DB075" w14:textId="77777777" w:rsidR="00B57B0A" w:rsidRPr="00A46F17" w:rsidRDefault="00B57B0A" w:rsidP="00A823BF">
      <w:pPr>
        <w:autoSpaceDE w:val="0"/>
        <w:autoSpaceDN w:val="0"/>
        <w:adjustRightInd w:val="0"/>
        <w:spacing w:after="0" w:line="240" w:lineRule="auto"/>
        <w:contextualSpacing/>
        <w:rPr>
          <w:rFonts w:cs="Times New Roman"/>
          <w:b/>
        </w:rPr>
      </w:pPr>
      <w:r w:rsidRPr="00A46F17">
        <w:rPr>
          <w:rFonts w:cs="Times New Roman"/>
          <w:b/>
        </w:rPr>
        <w:t>Interim Cost Clause</w:t>
      </w:r>
    </w:p>
    <w:p w14:paraId="1A56D3EC" w14:textId="2AD2278F" w:rsidR="00EB09A3" w:rsidRDefault="00B57B0A" w:rsidP="00A823BF">
      <w:pPr>
        <w:autoSpaceDE w:val="0"/>
        <w:autoSpaceDN w:val="0"/>
        <w:adjustRightInd w:val="0"/>
        <w:spacing w:after="0" w:line="240" w:lineRule="auto"/>
        <w:contextualSpacing/>
      </w:pPr>
      <w:r w:rsidRPr="00A46F17">
        <w:rPr>
          <w:rFonts w:cs="Times New Roman"/>
        </w:rPr>
        <w:t xml:space="preserve">Clause states: </w:t>
      </w:r>
      <w:r w:rsidR="00754E18">
        <w:t>It is understood and agreed between the parties that certain work was performed by the consultant before this amendment was approved. Further, it was the intent of the parties that the consultant performs this work and be paid in accordance with the contract. In light of the foregoing, the parties hereto ratify the acts of the consultant which may have been performed during this period of time and agree to pay for his services which were performed. The effective date of this amendment shall be ORIGINAL OVERALL COMPLETION DATE with an overall completion date of NEW OVERALL COMPLETION DATE.</w:t>
      </w:r>
    </w:p>
    <w:p w14:paraId="5B445437" w14:textId="77777777" w:rsidR="00754E18" w:rsidRPr="00A46F17" w:rsidRDefault="00754E18" w:rsidP="00A823BF">
      <w:pPr>
        <w:autoSpaceDE w:val="0"/>
        <w:autoSpaceDN w:val="0"/>
        <w:adjustRightInd w:val="0"/>
        <w:spacing w:after="0" w:line="240" w:lineRule="auto"/>
        <w:contextualSpacing/>
        <w:rPr>
          <w:rFonts w:cs="Times New Roman"/>
        </w:rPr>
      </w:pPr>
    </w:p>
    <w:p w14:paraId="100CB2F8" w14:textId="77777777" w:rsidR="00EB09A3" w:rsidRPr="00A46F17" w:rsidRDefault="00EB09A3" w:rsidP="00A823BF">
      <w:pPr>
        <w:spacing w:after="0" w:line="240" w:lineRule="auto"/>
        <w:contextualSpacing/>
        <w:rPr>
          <w:b/>
        </w:rPr>
      </w:pPr>
      <w:r w:rsidRPr="00A46F17">
        <w:rPr>
          <w:b/>
        </w:rPr>
        <w:t>Labor</w:t>
      </w:r>
    </w:p>
    <w:p w14:paraId="523A8A57" w14:textId="77777777" w:rsidR="00EB09A3" w:rsidRPr="00A46F17" w:rsidRDefault="00EB09A3" w:rsidP="00A823BF">
      <w:pPr>
        <w:spacing w:after="0" w:line="240" w:lineRule="auto"/>
        <w:contextualSpacing/>
      </w:pPr>
      <w:r w:rsidRPr="00A46F17">
        <w:t>Must be based on distribution records created from time sheet and payroll data. Company must maintain separate general ledger accounts for direct and indirect labor. The labor costs must reconcile to payroll records and IRS Form 941 information.</w:t>
      </w:r>
    </w:p>
    <w:p w14:paraId="2ADA18ED" w14:textId="77777777" w:rsidR="00D32B85" w:rsidRPr="00A46F17" w:rsidRDefault="00D32B85" w:rsidP="00A823BF">
      <w:pPr>
        <w:spacing w:after="0" w:line="240" w:lineRule="auto"/>
        <w:contextualSpacing/>
        <w:rPr>
          <w:b/>
        </w:rPr>
      </w:pPr>
    </w:p>
    <w:p w14:paraId="0BFB1677" w14:textId="77777777" w:rsidR="00EB09A3" w:rsidRPr="00A46F17" w:rsidRDefault="00EB09A3" w:rsidP="00A823BF">
      <w:pPr>
        <w:spacing w:after="0" w:line="240" w:lineRule="auto"/>
        <w:contextualSpacing/>
        <w:rPr>
          <w:b/>
        </w:rPr>
      </w:pPr>
      <w:r w:rsidRPr="00A46F17">
        <w:rPr>
          <w:b/>
        </w:rPr>
        <w:t>Local Public Agency (LPA)</w:t>
      </w:r>
    </w:p>
    <w:p w14:paraId="3A9988F4" w14:textId="77777777" w:rsidR="00EB09A3" w:rsidRPr="00A46F17" w:rsidRDefault="00EB09A3" w:rsidP="00A823BF">
      <w:pPr>
        <w:spacing w:after="0" w:line="240" w:lineRule="auto"/>
        <w:contextualSpacing/>
      </w:pPr>
      <w:r w:rsidRPr="00A46F17">
        <w:t xml:space="preserve">Refers to any City, County, or </w:t>
      </w:r>
      <w:r w:rsidR="00A97A66" w:rsidRPr="00A46F17">
        <w:t>other political subdivision of the State</w:t>
      </w:r>
    </w:p>
    <w:p w14:paraId="2F27DB8C" w14:textId="77777777" w:rsidR="00003B66" w:rsidRPr="00A46F17" w:rsidRDefault="00003B66" w:rsidP="00A823BF">
      <w:pPr>
        <w:spacing w:after="0" w:line="240" w:lineRule="auto"/>
        <w:contextualSpacing/>
      </w:pPr>
    </w:p>
    <w:p w14:paraId="271E5AB5" w14:textId="77777777" w:rsidR="00003B66" w:rsidRPr="00A46F17" w:rsidRDefault="00003B66" w:rsidP="00A823BF">
      <w:pPr>
        <w:spacing w:after="0" w:line="240" w:lineRule="auto"/>
        <w:contextualSpacing/>
        <w:rPr>
          <w:b/>
        </w:rPr>
      </w:pPr>
      <w:r w:rsidRPr="00A46F17">
        <w:rPr>
          <w:b/>
        </w:rPr>
        <w:t>Non-Participating Projects</w:t>
      </w:r>
    </w:p>
    <w:p w14:paraId="528AAB38" w14:textId="77777777" w:rsidR="00003B66" w:rsidRPr="00A46F17" w:rsidRDefault="00C1040A" w:rsidP="00A823BF">
      <w:pPr>
        <w:spacing w:after="0" w:line="240" w:lineRule="auto"/>
        <w:contextualSpacing/>
      </w:pPr>
      <w:r w:rsidRPr="00A46F17">
        <w:t>Projects that have no federal funding</w:t>
      </w:r>
    </w:p>
    <w:p w14:paraId="2CD7588A" w14:textId="77777777" w:rsidR="00C1040A" w:rsidRPr="00A46F17" w:rsidRDefault="00C1040A" w:rsidP="00A823BF">
      <w:pPr>
        <w:spacing w:after="0" w:line="240" w:lineRule="auto"/>
        <w:contextualSpacing/>
        <w:rPr>
          <w:b/>
        </w:rPr>
      </w:pPr>
    </w:p>
    <w:p w14:paraId="5C6C6DC3" w14:textId="77777777" w:rsidR="00EB09A3" w:rsidRPr="00A46F17" w:rsidRDefault="00EB09A3" w:rsidP="00A823BF">
      <w:pPr>
        <w:spacing w:after="0" w:line="240" w:lineRule="auto"/>
        <w:contextualSpacing/>
        <w:rPr>
          <w:b/>
        </w:rPr>
      </w:pPr>
      <w:r w:rsidRPr="00A46F17">
        <w:rPr>
          <w:b/>
        </w:rPr>
        <w:t>Notice to Proceed</w:t>
      </w:r>
    </w:p>
    <w:p w14:paraId="46BBC48E" w14:textId="77777777" w:rsidR="00EB09A3" w:rsidRDefault="00077095" w:rsidP="00A823BF">
      <w:pPr>
        <w:spacing w:after="0" w:line="240" w:lineRule="auto"/>
        <w:contextualSpacing/>
      </w:pPr>
      <w:r w:rsidRPr="00A46F17">
        <w:t>A</w:t>
      </w:r>
      <w:r w:rsidR="00EB09A3" w:rsidRPr="00A46F17">
        <w:t xml:space="preserve"> verbal/written document to begin a project. If a verbal notice to proceed is given it must be followed up with a written notice within two days. </w:t>
      </w:r>
    </w:p>
    <w:p w14:paraId="2C7058F3" w14:textId="77777777" w:rsidR="0099082D" w:rsidRDefault="0099082D" w:rsidP="00A823BF">
      <w:pPr>
        <w:spacing w:after="0" w:line="240" w:lineRule="auto"/>
        <w:contextualSpacing/>
      </w:pPr>
    </w:p>
    <w:p w14:paraId="6D112230" w14:textId="77777777" w:rsidR="0099082D" w:rsidRPr="0099082D" w:rsidRDefault="0099082D" w:rsidP="00A823BF">
      <w:pPr>
        <w:spacing w:after="0" w:line="240" w:lineRule="auto"/>
        <w:contextualSpacing/>
        <w:rPr>
          <w:b/>
        </w:rPr>
      </w:pPr>
      <w:r w:rsidRPr="0099082D">
        <w:rPr>
          <w:b/>
        </w:rPr>
        <w:t>Ongoing Monitoring</w:t>
      </w:r>
    </w:p>
    <w:p w14:paraId="45598951" w14:textId="77777777" w:rsidR="0099082D" w:rsidRPr="00A46F17" w:rsidRDefault="0099082D" w:rsidP="00A823BF">
      <w:pPr>
        <w:spacing w:after="0" w:line="240" w:lineRule="auto"/>
        <w:contextualSpacing/>
      </w:pPr>
      <w:r>
        <w:t>The continuous process of reviewing invoices and documentation by programmatic and financial staff, providing training and technical assistance, and reviewing performance and financial reports throughout the period of performance.</w:t>
      </w:r>
    </w:p>
    <w:p w14:paraId="16F5C843" w14:textId="77777777" w:rsidR="00450540" w:rsidRDefault="00450540" w:rsidP="00A823BF">
      <w:pPr>
        <w:autoSpaceDE w:val="0"/>
        <w:autoSpaceDN w:val="0"/>
        <w:adjustRightInd w:val="0"/>
        <w:spacing w:after="0" w:line="240" w:lineRule="auto"/>
        <w:contextualSpacing/>
        <w:rPr>
          <w:rFonts w:cs="Arial"/>
          <w:b/>
          <w:bCs/>
        </w:rPr>
      </w:pPr>
    </w:p>
    <w:p w14:paraId="6E107207" w14:textId="77777777" w:rsidR="00DC4218" w:rsidRPr="00A46F17" w:rsidRDefault="00DC4218" w:rsidP="00A823BF">
      <w:pPr>
        <w:autoSpaceDE w:val="0"/>
        <w:autoSpaceDN w:val="0"/>
        <w:adjustRightInd w:val="0"/>
        <w:spacing w:after="0" w:line="240" w:lineRule="auto"/>
        <w:contextualSpacing/>
        <w:rPr>
          <w:rFonts w:cs="Arial"/>
          <w:b/>
          <w:bCs/>
        </w:rPr>
      </w:pPr>
      <w:r w:rsidRPr="00A46F17">
        <w:rPr>
          <w:rFonts w:cs="Arial"/>
          <w:b/>
          <w:bCs/>
        </w:rPr>
        <w:t>Overhead Expenses</w:t>
      </w:r>
    </w:p>
    <w:p w14:paraId="07F35F85" w14:textId="77777777" w:rsidR="00DC4218" w:rsidRPr="00A46F17" w:rsidRDefault="00DC4218" w:rsidP="00A823BF">
      <w:pPr>
        <w:autoSpaceDE w:val="0"/>
        <w:autoSpaceDN w:val="0"/>
        <w:adjustRightInd w:val="0"/>
        <w:spacing w:after="0" w:line="240" w:lineRule="auto"/>
        <w:contextualSpacing/>
        <w:rPr>
          <w:rFonts w:cs="Garamond"/>
        </w:rPr>
      </w:pPr>
      <w:r w:rsidRPr="00A46F17">
        <w:rPr>
          <w:rFonts w:cs="Garamond"/>
        </w:rPr>
        <w:t>All allowable general administrative expenses and fringe benefit costs (sometimes called payroll additives). Depending on the size of the firm, these costs may be separately identified on a schedule of overhead costs.</w:t>
      </w:r>
    </w:p>
    <w:p w14:paraId="1EA4373A" w14:textId="77777777" w:rsidR="00DC4218" w:rsidRPr="00A46F17" w:rsidRDefault="00DC4218" w:rsidP="00A823BF">
      <w:pPr>
        <w:autoSpaceDE w:val="0"/>
        <w:autoSpaceDN w:val="0"/>
        <w:adjustRightInd w:val="0"/>
        <w:spacing w:after="0" w:line="240" w:lineRule="auto"/>
        <w:contextualSpacing/>
        <w:rPr>
          <w:rFonts w:cs="Arial"/>
          <w:b/>
          <w:bCs/>
        </w:rPr>
      </w:pPr>
    </w:p>
    <w:p w14:paraId="1CE7719B" w14:textId="77777777" w:rsidR="00DC4218" w:rsidRPr="00A46F17" w:rsidRDefault="00DC4218" w:rsidP="00A823BF">
      <w:pPr>
        <w:autoSpaceDE w:val="0"/>
        <w:autoSpaceDN w:val="0"/>
        <w:adjustRightInd w:val="0"/>
        <w:spacing w:after="0" w:line="240" w:lineRule="auto"/>
        <w:contextualSpacing/>
        <w:rPr>
          <w:rFonts w:cs="Arial"/>
          <w:b/>
          <w:bCs/>
        </w:rPr>
      </w:pPr>
      <w:r w:rsidRPr="00A46F17">
        <w:rPr>
          <w:rFonts w:cs="Arial"/>
          <w:b/>
          <w:bCs/>
        </w:rPr>
        <w:t>Overhead Rate</w:t>
      </w:r>
      <w:r w:rsidR="00060EF1" w:rsidRPr="00A46F17">
        <w:rPr>
          <w:rFonts w:cs="Arial"/>
          <w:b/>
          <w:bCs/>
        </w:rPr>
        <w:t xml:space="preserve"> (Indirect Cost Rate)</w:t>
      </w:r>
    </w:p>
    <w:p w14:paraId="75FE105C" w14:textId="77777777" w:rsidR="00DC4218" w:rsidRPr="00A46F17" w:rsidRDefault="00DC4218" w:rsidP="00A823BF">
      <w:pPr>
        <w:autoSpaceDE w:val="0"/>
        <w:autoSpaceDN w:val="0"/>
        <w:adjustRightInd w:val="0"/>
        <w:spacing w:after="0" w:line="240" w:lineRule="auto"/>
        <w:contextualSpacing/>
        <w:rPr>
          <w:rFonts w:cs="Garamond"/>
        </w:rPr>
      </w:pPr>
      <w:r w:rsidRPr="00A46F17">
        <w:rPr>
          <w:rFonts w:cs="Garamond"/>
        </w:rPr>
        <w:t>A computed rate developed by adding all of recipient’s general and administrative costs, plus fringe benefit costs, then dividing by a base value, usually direct labor, to get a percentage. This rate is applied to direct labor to allow a recipient to recover the share of indirect costs allowable to the agreement.</w:t>
      </w:r>
    </w:p>
    <w:p w14:paraId="2EC69D72" w14:textId="77777777" w:rsidR="00DC4218" w:rsidRPr="00A46F17" w:rsidRDefault="00DC4218" w:rsidP="00A823BF">
      <w:pPr>
        <w:spacing w:after="0" w:line="240" w:lineRule="auto"/>
        <w:contextualSpacing/>
        <w:rPr>
          <w:rFonts w:cs="Garamond"/>
        </w:rPr>
      </w:pPr>
    </w:p>
    <w:p w14:paraId="1492FA5B" w14:textId="77777777" w:rsidR="00C1040A" w:rsidRPr="00A46F17" w:rsidRDefault="00C1040A" w:rsidP="00A823BF">
      <w:pPr>
        <w:spacing w:after="0" w:line="240" w:lineRule="auto"/>
        <w:contextualSpacing/>
        <w:rPr>
          <w:b/>
        </w:rPr>
      </w:pPr>
      <w:r w:rsidRPr="00A46F17">
        <w:rPr>
          <w:b/>
        </w:rPr>
        <w:t>Participating Projects</w:t>
      </w:r>
    </w:p>
    <w:p w14:paraId="659B23A9" w14:textId="77777777" w:rsidR="006900CA" w:rsidRPr="00526CA8" w:rsidRDefault="00C1040A" w:rsidP="00A823BF">
      <w:pPr>
        <w:spacing w:after="0" w:line="240" w:lineRule="auto"/>
        <w:contextualSpacing/>
      </w:pPr>
      <w:r w:rsidRPr="00A46F17">
        <w:t>Projects that take part in federal reimbursement</w:t>
      </w:r>
    </w:p>
    <w:p w14:paraId="0BB409DA" w14:textId="77777777" w:rsidR="006900CA" w:rsidRDefault="006900CA" w:rsidP="00A823BF">
      <w:pPr>
        <w:spacing w:after="0" w:line="240" w:lineRule="auto"/>
        <w:contextualSpacing/>
        <w:rPr>
          <w:b/>
        </w:rPr>
      </w:pPr>
    </w:p>
    <w:p w14:paraId="14EAA28D" w14:textId="77777777" w:rsidR="00EB09A3" w:rsidRPr="00A46F17" w:rsidRDefault="00EB09A3" w:rsidP="00A823BF">
      <w:pPr>
        <w:spacing w:after="0" w:line="240" w:lineRule="auto"/>
        <w:contextualSpacing/>
        <w:rPr>
          <w:b/>
        </w:rPr>
      </w:pPr>
      <w:r w:rsidRPr="00A46F17">
        <w:rPr>
          <w:b/>
        </w:rPr>
        <w:t>Progress Report</w:t>
      </w:r>
    </w:p>
    <w:p w14:paraId="086AB11A" w14:textId="77777777" w:rsidR="00EB09A3" w:rsidRPr="00A46F17" w:rsidRDefault="00EB09A3" w:rsidP="00A823BF">
      <w:pPr>
        <w:spacing w:after="0" w:line="240" w:lineRule="auto"/>
        <w:contextualSpacing/>
      </w:pPr>
      <w:r w:rsidRPr="00A46F17">
        <w:t xml:space="preserve">A statement </w:t>
      </w:r>
      <w:r w:rsidR="00B2425B" w:rsidRPr="00A46F17">
        <w:t xml:space="preserve">report on the work accomplished along with the </w:t>
      </w:r>
      <w:r w:rsidRPr="00A46F17">
        <w:t xml:space="preserve">percentage of completion </w:t>
      </w:r>
      <w:r w:rsidR="00B2425B" w:rsidRPr="00A46F17">
        <w:t>of each deliverable and an overall</w:t>
      </w:r>
      <w:r w:rsidR="00AD63F5" w:rsidRPr="00A46F17">
        <w:t xml:space="preserve"> percent</w:t>
      </w:r>
      <w:r w:rsidRPr="00A46F17">
        <w:t xml:space="preserve"> project</w:t>
      </w:r>
      <w:r w:rsidR="00B2425B" w:rsidRPr="00A46F17">
        <w:t xml:space="preserve"> completion.</w:t>
      </w:r>
      <w:r w:rsidR="00AD63F5" w:rsidRPr="00A46F17">
        <w:t xml:space="preserve"> Also, a</w:t>
      </w:r>
      <w:r w:rsidR="00003B66" w:rsidRPr="00A46F17">
        <w:t>n</w:t>
      </w:r>
      <w:r w:rsidR="00AD63F5" w:rsidRPr="00A46F17">
        <w:t xml:space="preserve"> estimation of work tasks and percentage of upcoming project completions.</w:t>
      </w:r>
    </w:p>
    <w:p w14:paraId="0018D691" w14:textId="77777777" w:rsidR="00FF07D6" w:rsidRPr="00A46F17" w:rsidRDefault="00FF07D6" w:rsidP="00A823BF">
      <w:pPr>
        <w:spacing w:after="0" w:line="240" w:lineRule="auto"/>
        <w:contextualSpacing/>
        <w:rPr>
          <w:b/>
        </w:rPr>
      </w:pPr>
    </w:p>
    <w:p w14:paraId="53EC1AEB" w14:textId="77777777" w:rsidR="00077095" w:rsidRPr="00A46F17" w:rsidRDefault="00EB09A3" w:rsidP="00A823BF">
      <w:pPr>
        <w:spacing w:after="0" w:line="240" w:lineRule="auto"/>
        <w:contextualSpacing/>
        <w:rPr>
          <w:b/>
        </w:rPr>
      </w:pPr>
      <w:r w:rsidRPr="00A46F17">
        <w:rPr>
          <w:b/>
        </w:rPr>
        <w:t>Scope of Work (SOW)</w:t>
      </w:r>
    </w:p>
    <w:p w14:paraId="23D18397" w14:textId="77777777" w:rsidR="00EB09A3" w:rsidRPr="00A46F17" w:rsidRDefault="00FF07D6" w:rsidP="00A823BF">
      <w:pPr>
        <w:spacing w:after="0" w:line="240" w:lineRule="auto"/>
        <w:contextualSpacing/>
        <w:rPr>
          <w:rFonts w:cs="Arial"/>
          <w:color w:val="222222"/>
          <w:lang w:val="en"/>
        </w:rPr>
      </w:pPr>
      <w:r w:rsidRPr="00A46F17">
        <w:t>T</w:t>
      </w:r>
      <w:r w:rsidRPr="00A46F17">
        <w:rPr>
          <w:rFonts w:cs="Arial"/>
          <w:color w:val="222222"/>
          <w:lang w:val="en"/>
        </w:rPr>
        <w:t>he</w:t>
      </w:r>
      <w:r w:rsidR="00EB09A3" w:rsidRPr="00A46F17">
        <w:rPr>
          <w:rFonts w:cs="Arial"/>
          <w:color w:val="222222"/>
          <w:lang w:val="en"/>
        </w:rPr>
        <w:t xml:space="preserve"> area in an agreement where the </w:t>
      </w:r>
      <w:r w:rsidR="00EB09A3" w:rsidRPr="00A46F17">
        <w:rPr>
          <w:rFonts w:cs="Arial"/>
          <w:bCs/>
          <w:color w:val="222222"/>
          <w:lang w:val="en"/>
        </w:rPr>
        <w:t>work</w:t>
      </w:r>
      <w:r w:rsidR="00EB09A3" w:rsidRPr="00A46F17">
        <w:rPr>
          <w:rFonts w:cs="Arial"/>
          <w:color w:val="222222"/>
          <w:lang w:val="en"/>
        </w:rPr>
        <w:t xml:space="preserve"> to be performed is described. The SOW should contain any milestones, reports, deliverables, and end products that are expected to be provided by the performing party. The SOW should also contain a time line for all deliverables.</w:t>
      </w:r>
    </w:p>
    <w:p w14:paraId="37B1ED48" w14:textId="77777777" w:rsidR="00077095" w:rsidRPr="00A46F17" w:rsidRDefault="00077095" w:rsidP="00A823BF">
      <w:pPr>
        <w:spacing w:after="0" w:line="240" w:lineRule="auto"/>
        <w:contextualSpacing/>
        <w:rPr>
          <w:b/>
        </w:rPr>
      </w:pPr>
    </w:p>
    <w:p w14:paraId="3FE8AA30" w14:textId="77777777" w:rsidR="00EB09A3" w:rsidRPr="00A46F17" w:rsidRDefault="00EB09A3" w:rsidP="00A823BF">
      <w:pPr>
        <w:spacing w:after="0" w:line="240" w:lineRule="auto"/>
        <w:contextualSpacing/>
        <w:rPr>
          <w:b/>
        </w:rPr>
      </w:pPr>
      <w:r w:rsidRPr="00A46F17">
        <w:rPr>
          <w:b/>
        </w:rPr>
        <w:t>Start Date/End Date</w:t>
      </w:r>
    </w:p>
    <w:p w14:paraId="5BD5D4C5" w14:textId="77777777" w:rsidR="00EB09A3" w:rsidRDefault="00EB09A3" w:rsidP="00A823BF">
      <w:pPr>
        <w:spacing w:after="0" w:line="240" w:lineRule="auto"/>
        <w:contextualSpacing/>
      </w:pPr>
      <w:r w:rsidRPr="00A46F17">
        <w:t>The date a project may begin and the date the project needs to be completed by.</w:t>
      </w:r>
    </w:p>
    <w:p w14:paraId="35506188" w14:textId="77777777" w:rsidR="006543A0" w:rsidRDefault="006543A0" w:rsidP="00A823BF">
      <w:pPr>
        <w:spacing w:after="0" w:line="240" w:lineRule="auto"/>
        <w:contextualSpacing/>
      </w:pPr>
    </w:p>
    <w:p w14:paraId="67BA81AF" w14:textId="77777777" w:rsidR="006543A0" w:rsidRPr="006543A0" w:rsidRDefault="006543A0" w:rsidP="00A823BF">
      <w:pPr>
        <w:spacing w:after="0" w:line="240" w:lineRule="auto"/>
        <w:contextualSpacing/>
        <w:rPr>
          <w:rFonts w:cstheme="minorHAnsi"/>
          <w:b/>
          <w:color w:val="000000"/>
          <w:shd w:val="clear" w:color="auto" w:fill="FFFFFF"/>
        </w:rPr>
      </w:pPr>
      <w:r w:rsidRPr="006543A0">
        <w:rPr>
          <w:rFonts w:cstheme="minorHAnsi"/>
          <w:b/>
          <w:iCs/>
          <w:color w:val="000000"/>
          <w:shd w:val="clear" w:color="auto" w:fill="FFFFFF"/>
        </w:rPr>
        <w:t>Subconsultant</w:t>
      </w:r>
      <w:r w:rsidRPr="006543A0">
        <w:rPr>
          <w:rFonts w:cstheme="minorHAnsi"/>
          <w:b/>
          <w:color w:val="000000"/>
          <w:shd w:val="clear" w:color="auto" w:fill="FFFFFF"/>
        </w:rPr>
        <w:t> </w:t>
      </w:r>
    </w:p>
    <w:p w14:paraId="790E0A43" w14:textId="77777777" w:rsidR="006543A0" w:rsidRPr="006543A0" w:rsidRDefault="006543A0" w:rsidP="00A823BF">
      <w:pPr>
        <w:spacing w:after="0" w:line="240" w:lineRule="auto"/>
        <w:contextualSpacing/>
        <w:rPr>
          <w:rFonts w:cstheme="minorHAnsi"/>
        </w:rPr>
      </w:pPr>
      <w:r>
        <w:rPr>
          <w:rFonts w:cstheme="minorHAnsi"/>
          <w:color w:val="000000"/>
          <w:shd w:val="clear" w:color="auto" w:fill="FFFFFF"/>
        </w:rPr>
        <w:t>An</w:t>
      </w:r>
      <w:r w:rsidRPr="006543A0">
        <w:rPr>
          <w:rFonts w:cstheme="minorHAnsi"/>
          <w:color w:val="000000"/>
          <w:shd w:val="clear" w:color="auto" w:fill="FFFFFF"/>
        </w:rPr>
        <w:t xml:space="preserve"> individual or firm contracted by a consultant to provide engineering and design related or other types of services that are part of the services which the consultant is under contract to provide to a recipient (as defined in 23 CFR 200.86) or subrecipient (as defined in 2 CFR 200.93) of Federal assistance.</w:t>
      </w:r>
    </w:p>
    <w:p w14:paraId="2AAC9790" w14:textId="77777777" w:rsidR="00EB09A3" w:rsidRPr="00A46F17" w:rsidRDefault="00EB09A3" w:rsidP="00A823BF">
      <w:pPr>
        <w:spacing w:after="0" w:line="240" w:lineRule="auto"/>
        <w:contextualSpacing/>
      </w:pPr>
    </w:p>
    <w:p w14:paraId="3A3F4674" w14:textId="77777777" w:rsidR="00EB09A3" w:rsidRPr="00A46F17" w:rsidRDefault="00EB09A3" w:rsidP="00A823BF">
      <w:pPr>
        <w:spacing w:after="0" w:line="240" w:lineRule="auto"/>
        <w:contextualSpacing/>
        <w:rPr>
          <w:b/>
        </w:rPr>
      </w:pPr>
      <w:r w:rsidRPr="00A46F17">
        <w:rPr>
          <w:b/>
        </w:rPr>
        <w:t>Travel</w:t>
      </w:r>
    </w:p>
    <w:p w14:paraId="287EB37F" w14:textId="77777777" w:rsidR="00EB09A3" w:rsidRPr="00A46F17" w:rsidRDefault="00EB09A3" w:rsidP="00A823BF">
      <w:pPr>
        <w:autoSpaceDE w:val="0"/>
        <w:autoSpaceDN w:val="0"/>
        <w:adjustRightInd w:val="0"/>
        <w:spacing w:after="0" w:line="240" w:lineRule="auto"/>
        <w:contextualSpacing/>
        <w:rPr>
          <w:rFonts w:cs="Arial"/>
          <w:b/>
          <w:bCs/>
        </w:rPr>
      </w:pPr>
      <w:r w:rsidRPr="00A46F17">
        <w:rPr>
          <w:rFonts w:cs="Times New Roman"/>
        </w:rPr>
        <w:t>Costs associated with the reimbursement of employee travel expenses are allowable, provided that the employee is in travel status for an official business purpose, the nature of the cost is allowable, and the cost does not exceed the per diem rates established in the Federal Travel Regulation.  Travel costs incurred in the normal course of overall administration of the business are allowable and should be treated as indirect costs. Travel costs attributable to specific contract performance are allowable and may be charged to the contract, subject to any special limitations contained in said contract.</w:t>
      </w:r>
      <w:r w:rsidRPr="00A46F17">
        <w:rPr>
          <w:rFonts w:cs="Arial"/>
          <w:b/>
          <w:bCs/>
        </w:rPr>
        <w:t xml:space="preserve"> [Reference: FAR 31.205-46]</w:t>
      </w:r>
    </w:p>
    <w:p w14:paraId="1FB8E36F" w14:textId="77777777" w:rsidR="004508B4" w:rsidRPr="00A46F17" w:rsidRDefault="004508B4" w:rsidP="00A823BF">
      <w:pPr>
        <w:autoSpaceDE w:val="0"/>
        <w:autoSpaceDN w:val="0"/>
        <w:adjustRightInd w:val="0"/>
        <w:spacing w:after="0" w:line="240" w:lineRule="auto"/>
        <w:contextualSpacing/>
        <w:rPr>
          <w:rFonts w:cs="Arial"/>
          <w:b/>
          <w:bCs/>
        </w:rPr>
      </w:pPr>
    </w:p>
    <w:p w14:paraId="12F9DA11" w14:textId="77777777" w:rsidR="004508B4" w:rsidRPr="00A46F17" w:rsidRDefault="004508B4" w:rsidP="00A823BF">
      <w:pPr>
        <w:autoSpaceDE w:val="0"/>
        <w:autoSpaceDN w:val="0"/>
        <w:adjustRightInd w:val="0"/>
        <w:spacing w:after="0" w:line="240" w:lineRule="auto"/>
        <w:contextualSpacing/>
        <w:rPr>
          <w:rFonts w:cs="Arial"/>
          <w:b/>
          <w:bCs/>
        </w:rPr>
      </w:pPr>
      <w:r w:rsidRPr="00A46F17">
        <w:rPr>
          <w:rFonts w:cs="Arial"/>
          <w:b/>
          <w:bCs/>
        </w:rPr>
        <w:t>Unallowable Cost</w:t>
      </w:r>
    </w:p>
    <w:p w14:paraId="162F6F42" w14:textId="77777777" w:rsidR="004F0216" w:rsidRPr="00450540" w:rsidRDefault="004508B4" w:rsidP="00A823BF">
      <w:pPr>
        <w:autoSpaceDE w:val="0"/>
        <w:autoSpaceDN w:val="0"/>
        <w:adjustRightInd w:val="0"/>
        <w:spacing w:after="0" w:line="240" w:lineRule="auto"/>
        <w:contextualSpacing/>
        <w:rPr>
          <w:rFonts w:cs="Arial"/>
          <w:bCs/>
        </w:rPr>
      </w:pPr>
      <w:r w:rsidRPr="00A46F17">
        <w:rPr>
          <w:rFonts w:cs="Arial"/>
          <w:bCs/>
        </w:rPr>
        <w:lastRenderedPageBreak/>
        <w:t>Costs that might be eligible but because of circumstances are not allowable (ie – costs not within the determined time limit)</w:t>
      </w:r>
      <w:r w:rsidR="00BB5BB4" w:rsidRPr="00A46F17">
        <w:rPr>
          <w:rFonts w:cs="Arial"/>
          <w:bCs/>
        </w:rPr>
        <w:t xml:space="preserve"> </w:t>
      </w:r>
      <w:hyperlink r:id="rId27" w:history="1">
        <w:r w:rsidR="0047687A" w:rsidRPr="00A46F17">
          <w:rPr>
            <w:rStyle w:val="Hyperlink"/>
            <w:rFonts w:cs="Arial"/>
            <w:bCs/>
          </w:rPr>
          <w:t>http://www.accountingweb.com/topic/accounting-auditing/federal-contracts-unallowable-costs-explained</w:t>
        </w:r>
      </w:hyperlink>
      <w:r w:rsidR="0047687A" w:rsidRPr="00A46F17">
        <w:rPr>
          <w:rFonts w:cs="Arial"/>
          <w:bCs/>
        </w:rPr>
        <w:t xml:space="preserve"> </w:t>
      </w:r>
    </w:p>
    <w:p w14:paraId="34CBE97B" w14:textId="77777777" w:rsidR="004F0216" w:rsidRDefault="004F0216" w:rsidP="00A823BF">
      <w:pPr>
        <w:autoSpaceDE w:val="0"/>
        <w:autoSpaceDN w:val="0"/>
        <w:adjustRightInd w:val="0"/>
        <w:spacing w:after="0" w:line="240" w:lineRule="auto"/>
        <w:contextualSpacing/>
        <w:rPr>
          <w:rFonts w:cs="Arial"/>
          <w:b/>
          <w:bCs/>
        </w:rPr>
      </w:pPr>
    </w:p>
    <w:p w14:paraId="0DC8D77F" w14:textId="77777777" w:rsidR="00DC4218" w:rsidRPr="00A46F17" w:rsidRDefault="00DC4218" w:rsidP="00A823BF">
      <w:pPr>
        <w:autoSpaceDE w:val="0"/>
        <w:autoSpaceDN w:val="0"/>
        <w:adjustRightInd w:val="0"/>
        <w:spacing w:after="0" w:line="240" w:lineRule="auto"/>
        <w:contextualSpacing/>
        <w:rPr>
          <w:rFonts w:cs="Arial"/>
          <w:b/>
          <w:bCs/>
        </w:rPr>
      </w:pPr>
      <w:r w:rsidRPr="00A46F17">
        <w:rPr>
          <w:rFonts w:cs="Arial"/>
          <w:b/>
          <w:bCs/>
        </w:rPr>
        <w:t>Vendor Invoices</w:t>
      </w:r>
    </w:p>
    <w:p w14:paraId="6CFFE55F" w14:textId="77777777" w:rsidR="00DC4218" w:rsidRPr="00A46F17" w:rsidRDefault="00DC4218" w:rsidP="00A823BF">
      <w:pPr>
        <w:autoSpaceDE w:val="0"/>
        <w:autoSpaceDN w:val="0"/>
        <w:adjustRightInd w:val="0"/>
        <w:spacing w:after="0" w:line="240" w:lineRule="auto"/>
        <w:contextualSpacing/>
        <w:rPr>
          <w:rFonts w:cs="Garamond"/>
        </w:rPr>
      </w:pPr>
      <w:r w:rsidRPr="00A46F17">
        <w:rPr>
          <w:rFonts w:cs="Garamond"/>
        </w:rPr>
        <w:t>Original documents, including but not limited to time sheets, invoices, room receipts, rental slips, gasoline tickets, canceled checks, tax returns, insurance policies, etc., which support the costs recorded in the recipient accounting ledgers and which may be used for billing purposes.</w:t>
      </w:r>
    </w:p>
    <w:p w14:paraId="300F5D3B" w14:textId="77777777" w:rsidR="009905AD" w:rsidRPr="00A46F17" w:rsidRDefault="009905AD" w:rsidP="00A823BF">
      <w:pPr>
        <w:spacing w:after="0" w:line="240" w:lineRule="auto"/>
        <w:contextualSpacing/>
        <w:rPr>
          <w:b/>
        </w:rPr>
      </w:pPr>
    </w:p>
    <w:p w14:paraId="587873AE" w14:textId="77777777" w:rsidR="00DF2466" w:rsidRPr="00A46F17" w:rsidRDefault="00DF2466" w:rsidP="00A823BF">
      <w:pPr>
        <w:spacing w:after="0" w:line="240" w:lineRule="auto"/>
        <w:contextualSpacing/>
        <w:rPr>
          <w:b/>
        </w:rPr>
      </w:pPr>
      <w:r w:rsidRPr="00A46F17">
        <w:rPr>
          <w:b/>
        </w:rPr>
        <w:t>Work Order</w:t>
      </w:r>
    </w:p>
    <w:p w14:paraId="1FFAAC7C" w14:textId="77777777" w:rsidR="00201C92" w:rsidRPr="00A46F17" w:rsidRDefault="00DC4218" w:rsidP="00A823BF">
      <w:pPr>
        <w:spacing w:after="0" w:line="240" w:lineRule="auto"/>
        <w:contextualSpacing/>
      </w:pPr>
      <w:r w:rsidRPr="00A46F17">
        <w:t>An order of work to be performed under the engineer retainer contract (see attachment I)</w:t>
      </w:r>
    </w:p>
    <w:sectPr w:rsidR="00201C92" w:rsidRPr="00A4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86D"/>
    <w:multiLevelType w:val="hybridMultilevel"/>
    <w:tmpl w:val="1040D36C"/>
    <w:lvl w:ilvl="0" w:tplc="84B0B40C">
      <w:start w:val="1"/>
      <w:numFmt w:val="lowerLetter"/>
      <w:lvlText w:val="%1."/>
      <w:lvlJc w:val="left"/>
      <w:pPr>
        <w:ind w:left="1080" w:hanging="360"/>
      </w:pPr>
      <w:rPr>
        <w:rFonts w:hint="default"/>
      </w:rPr>
    </w:lvl>
    <w:lvl w:ilvl="1" w:tplc="04090001">
      <w:start w:val="1"/>
      <w:numFmt w:val="bullet"/>
      <w:lvlText w:val=""/>
      <w:lvlJc w:val="left"/>
      <w:pPr>
        <w:ind w:left="225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658A0"/>
    <w:multiLevelType w:val="hybridMultilevel"/>
    <w:tmpl w:val="5B265112"/>
    <w:lvl w:ilvl="0" w:tplc="8E12B8AA">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793C"/>
    <w:multiLevelType w:val="hybridMultilevel"/>
    <w:tmpl w:val="6B4A8F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7D8"/>
    <w:multiLevelType w:val="hybridMultilevel"/>
    <w:tmpl w:val="69B26900"/>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12377017"/>
    <w:multiLevelType w:val="hybridMultilevel"/>
    <w:tmpl w:val="D274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2227"/>
    <w:multiLevelType w:val="hybridMultilevel"/>
    <w:tmpl w:val="6FBE3FDC"/>
    <w:lvl w:ilvl="0" w:tplc="702850A0">
      <w:start w:val="1"/>
      <w:numFmt w:val="lowerLetter"/>
      <w:lvlText w:val="%1."/>
      <w:lvlJc w:val="left"/>
      <w:pPr>
        <w:tabs>
          <w:tab w:val="num" w:pos="1440"/>
        </w:tabs>
        <w:ind w:left="1440" w:hanging="360"/>
      </w:pPr>
      <w:rPr>
        <w:rFonts w:asciiTheme="minorHAnsi" w:eastAsiaTheme="minorHAnsi" w:hAnsiTheme="minorHAnsi" w:cs="Tahom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F16CD5"/>
    <w:multiLevelType w:val="hybridMultilevel"/>
    <w:tmpl w:val="4928E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180"/>
      </w:pPr>
      <w:rPr>
        <w:rFonts w:ascii="Wingdings" w:hAnsi="Wingding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7D88DF4">
      <w:start w:val="1"/>
      <w:numFmt w:val="lowerRoman"/>
      <w:lvlText w:val="%7."/>
      <w:lvlJc w:val="left"/>
      <w:pPr>
        <w:ind w:left="5040" w:hanging="360"/>
      </w:pPr>
      <w:rPr>
        <w:rFonts w:asciiTheme="minorHAnsi" w:eastAsiaTheme="minorHAnsi" w:hAnsiTheme="minorHAnsi" w:cstheme="minorBidi"/>
      </w:rPr>
    </w:lvl>
    <w:lvl w:ilvl="7" w:tplc="24620FD8">
      <w:start w:val="9"/>
      <w:numFmt w:val="bullet"/>
      <w:lvlText w:val="-"/>
      <w:lvlJc w:val="left"/>
      <w:pPr>
        <w:ind w:left="5760" w:hanging="360"/>
      </w:pPr>
      <w:rPr>
        <w:rFonts w:ascii="Calibri" w:eastAsia="Times New Roman" w:hAnsi="Calibri" w:cs="Calibri" w:hint="default"/>
      </w:rPr>
    </w:lvl>
    <w:lvl w:ilvl="8" w:tplc="0409001B" w:tentative="1">
      <w:start w:val="1"/>
      <w:numFmt w:val="lowerRoman"/>
      <w:lvlText w:val="%9."/>
      <w:lvlJc w:val="right"/>
      <w:pPr>
        <w:ind w:left="6480" w:hanging="180"/>
      </w:pPr>
    </w:lvl>
  </w:abstractNum>
  <w:abstractNum w:abstractNumId="7" w15:restartNumberingAfterBreak="0">
    <w:nsid w:val="17AA06BA"/>
    <w:multiLevelType w:val="hybridMultilevel"/>
    <w:tmpl w:val="9A682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B3BC0"/>
    <w:multiLevelType w:val="hybridMultilevel"/>
    <w:tmpl w:val="C6265A7A"/>
    <w:lvl w:ilvl="0" w:tplc="F2761C7E">
      <w:start w:val="1"/>
      <w:numFmt w:val="lowerLetter"/>
      <w:lvlText w:val="%1."/>
      <w:lvlJc w:val="left"/>
      <w:pPr>
        <w:tabs>
          <w:tab w:val="num" w:pos="1440"/>
        </w:tabs>
        <w:ind w:left="1440" w:hanging="360"/>
      </w:pPr>
      <w:rPr>
        <w:rFonts w:asciiTheme="minorHAnsi" w:eastAsiaTheme="minorHAnsi" w:hAnsiTheme="minorHAnsi" w:cs="Tahoma"/>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745568"/>
    <w:multiLevelType w:val="hybridMultilevel"/>
    <w:tmpl w:val="909429FE"/>
    <w:lvl w:ilvl="0" w:tplc="84B0B40C">
      <w:start w:val="1"/>
      <w:numFmt w:val="lowerLetter"/>
      <w:lvlText w:val="%1."/>
      <w:lvlJc w:val="left"/>
      <w:pPr>
        <w:ind w:left="1080" w:hanging="360"/>
      </w:pPr>
      <w:rPr>
        <w:rFonts w:hint="default"/>
      </w:rPr>
    </w:lvl>
    <w:lvl w:ilvl="1" w:tplc="04090001">
      <w:start w:val="1"/>
      <w:numFmt w:val="bullet"/>
      <w:lvlText w:val=""/>
      <w:lvlJc w:val="left"/>
      <w:pPr>
        <w:ind w:left="225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06C60"/>
    <w:multiLevelType w:val="hybridMultilevel"/>
    <w:tmpl w:val="C9FAFF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15769"/>
    <w:multiLevelType w:val="hybridMultilevel"/>
    <w:tmpl w:val="2DE4EDB6"/>
    <w:lvl w:ilvl="0" w:tplc="34228A04">
      <w:start w:val="1"/>
      <w:numFmt w:val="upperRoman"/>
      <w:lvlText w:val="%1."/>
      <w:lvlJc w:val="left"/>
      <w:pPr>
        <w:ind w:left="1440" w:hanging="72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1F141F9"/>
    <w:multiLevelType w:val="hybridMultilevel"/>
    <w:tmpl w:val="625E07A0"/>
    <w:lvl w:ilvl="0" w:tplc="F0266BEE">
      <w:start w:val="1"/>
      <w:numFmt w:val="lowerLetter"/>
      <w:lvlText w:val="%1."/>
      <w:lvlJc w:val="left"/>
      <w:pPr>
        <w:tabs>
          <w:tab w:val="num" w:pos="1440"/>
        </w:tabs>
        <w:ind w:left="1440" w:hanging="360"/>
      </w:pPr>
      <w:rPr>
        <w:rFonts w:asciiTheme="minorHAnsi" w:eastAsiaTheme="minorHAnsi" w:hAnsiTheme="minorHAnsi" w:cs="Tahom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026702"/>
    <w:multiLevelType w:val="hybridMultilevel"/>
    <w:tmpl w:val="A4EC6C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A4A2C"/>
    <w:multiLevelType w:val="hybridMultilevel"/>
    <w:tmpl w:val="65B43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57193"/>
    <w:multiLevelType w:val="hybridMultilevel"/>
    <w:tmpl w:val="D83E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74996"/>
    <w:multiLevelType w:val="hybridMultilevel"/>
    <w:tmpl w:val="8A66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F7557"/>
    <w:multiLevelType w:val="hybridMultilevel"/>
    <w:tmpl w:val="7AB28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215A79"/>
    <w:multiLevelType w:val="hybridMultilevel"/>
    <w:tmpl w:val="26A0521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3">
      <w:start w:val="1"/>
      <w:numFmt w:val="bullet"/>
      <w:lvlText w:val="o"/>
      <w:lvlJc w:val="left"/>
      <w:pPr>
        <w:ind w:left="4140" w:hanging="360"/>
      </w:pPr>
      <w:rPr>
        <w:rFonts w:ascii="Courier New" w:hAnsi="Courier New" w:cs="Courier New"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3A29065E"/>
    <w:multiLevelType w:val="hybridMultilevel"/>
    <w:tmpl w:val="CD08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180"/>
      </w:pPr>
      <w:rPr>
        <w:rFonts w:ascii="Wingdings" w:hAnsi="Wingding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7D88DF4">
      <w:start w:val="1"/>
      <w:numFmt w:val="lowerRoman"/>
      <w:lvlText w:val="%7."/>
      <w:lvlJc w:val="left"/>
      <w:pPr>
        <w:ind w:left="5040" w:hanging="360"/>
      </w:pPr>
      <w:rPr>
        <w:rFonts w:asciiTheme="minorHAnsi" w:eastAsiaTheme="minorHAnsi" w:hAnsiTheme="minorHAnsi" w:cstheme="minorBid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31360"/>
    <w:multiLevelType w:val="hybridMultilevel"/>
    <w:tmpl w:val="AD6C977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2448C"/>
    <w:multiLevelType w:val="hybridMultilevel"/>
    <w:tmpl w:val="A6FCA916"/>
    <w:lvl w:ilvl="0" w:tplc="EF68217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181DED"/>
    <w:multiLevelType w:val="hybridMultilevel"/>
    <w:tmpl w:val="93603386"/>
    <w:lvl w:ilvl="0" w:tplc="F2761C7E">
      <w:start w:val="1"/>
      <w:numFmt w:val="lowerLetter"/>
      <w:lvlText w:val="%1."/>
      <w:lvlJc w:val="left"/>
      <w:pPr>
        <w:tabs>
          <w:tab w:val="num" w:pos="1440"/>
        </w:tabs>
        <w:ind w:left="1440" w:hanging="360"/>
      </w:pPr>
      <w:rPr>
        <w:rFonts w:asciiTheme="minorHAnsi" w:eastAsiaTheme="minorHAnsi" w:hAnsiTheme="minorHAnsi" w:cs="Tahoma"/>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7F5943"/>
    <w:multiLevelType w:val="hybridMultilevel"/>
    <w:tmpl w:val="A59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52397"/>
    <w:multiLevelType w:val="hybridMultilevel"/>
    <w:tmpl w:val="2CD68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A7948"/>
    <w:multiLevelType w:val="hybridMultilevel"/>
    <w:tmpl w:val="2BB6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B27A1"/>
    <w:multiLevelType w:val="hybridMultilevel"/>
    <w:tmpl w:val="1B44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180"/>
      </w:pPr>
      <w:rPr>
        <w:rFonts w:ascii="Wingdings" w:hAnsi="Wingding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7D88DF4">
      <w:start w:val="1"/>
      <w:numFmt w:val="lowerRoman"/>
      <w:lvlText w:val="%7."/>
      <w:lvlJc w:val="left"/>
      <w:pPr>
        <w:ind w:left="5040" w:hanging="360"/>
      </w:pPr>
      <w:rPr>
        <w:rFonts w:asciiTheme="minorHAnsi" w:eastAsiaTheme="minorHAnsi" w:hAnsiTheme="minorHAnsi" w:cstheme="minorBid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E17B2"/>
    <w:multiLevelType w:val="hybridMultilevel"/>
    <w:tmpl w:val="E632CD50"/>
    <w:lvl w:ilvl="0" w:tplc="84B0B40C">
      <w:start w:val="1"/>
      <w:numFmt w:val="lowerLetter"/>
      <w:lvlText w:val="%1."/>
      <w:lvlJc w:val="left"/>
      <w:pPr>
        <w:ind w:left="108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954116"/>
    <w:multiLevelType w:val="hybridMultilevel"/>
    <w:tmpl w:val="680C0668"/>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9" w15:restartNumberingAfterBreak="0">
    <w:nsid w:val="4DB44734"/>
    <w:multiLevelType w:val="hybridMultilevel"/>
    <w:tmpl w:val="A2F6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5A29CA"/>
    <w:multiLevelType w:val="hybridMultilevel"/>
    <w:tmpl w:val="CF20826C"/>
    <w:lvl w:ilvl="0" w:tplc="DDE2E090">
      <w:start w:val="1"/>
      <w:numFmt w:val="lowerLetter"/>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4907B4"/>
    <w:multiLevelType w:val="hybridMultilevel"/>
    <w:tmpl w:val="82DE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8E5FA9"/>
    <w:multiLevelType w:val="hybridMultilevel"/>
    <w:tmpl w:val="5C64E518"/>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3" w15:restartNumberingAfterBreak="0">
    <w:nsid w:val="586C6365"/>
    <w:multiLevelType w:val="hybridMultilevel"/>
    <w:tmpl w:val="BFBC2628"/>
    <w:lvl w:ilvl="0" w:tplc="04090003">
      <w:start w:val="1"/>
      <w:numFmt w:val="bullet"/>
      <w:lvlText w:val="o"/>
      <w:lvlJc w:val="left"/>
      <w:pPr>
        <w:ind w:left="3960" w:hanging="360"/>
      </w:pPr>
      <w:rPr>
        <w:rFonts w:ascii="Courier New" w:hAnsi="Courier New" w:cs="Courier New"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4" w15:restartNumberingAfterBreak="0">
    <w:nsid w:val="5BFD3B51"/>
    <w:multiLevelType w:val="hybridMultilevel"/>
    <w:tmpl w:val="9AC0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D6321"/>
    <w:multiLevelType w:val="hybridMultilevel"/>
    <w:tmpl w:val="76C24BA4"/>
    <w:lvl w:ilvl="0" w:tplc="F2761C7E">
      <w:start w:val="1"/>
      <w:numFmt w:val="lowerLetter"/>
      <w:lvlText w:val="%1."/>
      <w:lvlJc w:val="left"/>
      <w:pPr>
        <w:tabs>
          <w:tab w:val="num" w:pos="1440"/>
        </w:tabs>
        <w:ind w:left="1440" w:hanging="360"/>
      </w:pPr>
      <w:rPr>
        <w:rFonts w:asciiTheme="minorHAnsi" w:eastAsiaTheme="minorHAnsi" w:hAnsiTheme="minorHAnsi" w:cs="Tahoma"/>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B05E53"/>
    <w:multiLevelType w:val="hybridMultilevel"/>
    <w:tmpl w:val="A1F6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7D1E4C"/>
    <w:multiLevelType w:val="hybridMultilevel"/>
    <w:tmpl w:val="340C090A"/>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AD3898"/>
    <w:multiLevelType w:val="hybridMultilevel"/>
    <w:tmpl w:val="A70CEBB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BD27F1"/>
    <w:multiLevelType w:val="hybridMultilevel"/>
    <w:tmpl w:val="FE2EBD8C"/>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15:restartNumberingAfterBreak="0">
    <w:nsid w:val="6F7233FF"/>
    <w:multiLevelType w:val="hybridMultilevel"/>
    <w:tmpl w:val="B4B8AA78"/>
    <w:lvl w:ilvl="0" w:tplc="04090001">
      <w:start w:val="1"/>
      <w:numFmt w:val="bullet"/>
      <w:lvlText w:val=""/>
      <w:lvlJc w:val="left"/>
      <w:pPr>
        <w:ind w:left="207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5F142E"/>
    <w:multiLevelType w:val="hybridMultilevel"/>
    <w:tmpl w:val="9E74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B1F7F"/>
    <w:multiLevelType w:val="hybridMultilevel"/>
    <w:tmpl w:val="81C8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7D88DF4">
      <w:start w:val="1"/>
      <w:numFmt w:val="lowerRoman"/>
      <w:lvlText w:val="%7."/>
      <w:lvlJc w:val="left"/>
      <w:pPr>
        <w:ind w:left="5040" w:hanging="360"/>
      </w:pPr>
      <w:rPr>
        <w:rFonts w:asciiTheme="minorHAnsi" w:eastAsiaTheme="minorHAnsi" w:hAnsiTheme="minorHAnsi" w:cstheme="minorBid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27"/>
  </w:num>
  <w:num w:numId="4">
    <w:abstractNumId w:val="17"/>
  </w:num>
  <w:num w:numId="5">
    <w:abstractNumId w:val="10"/>
  </w:num>
  <w:num w:numId="6">
    <w:abstractNumId w:val="2"/>
  </w:num>
  <w:num w:numId="7">
    <w:abstractNumId w:val="1"/>
  </w:num>
  <w:num w:numId="8">
    <w:abstractNumId w:val="37"/>
  </w:num>
  <w:num w:numId="9">
    <w:abstractNumId w:val="22"/>
  </w:num>
  <w:num w:numId="10">
    <w:abstractNumId w:val="5"/>
  </w:num>
  <w:num w:numId="11">
    <w:abstractNumId w:val="12"/>
  </w:num>
  <w:num w:numId="12">
    <w:abstractNumId w:val="36"/>
  </w:num>
  <w:num w:numId="13">
    <w:abstractNumId w:val="20"/>
  </w:num>
  <w:num w:numId="14">
    <w:abstractNumId w:val="35"/>
  </w:num>
  <w:num w:numId="15">
    <w:abstractNumId w:val="8"/>
  </w:num>
  <w:num w:numId="16">
    <w:abstractNumId w:val="38"/>
  </w:num>
  <w:num w:numId="17">
    <w:abstractNumId w:val="0"/>
  </w:num>
  <w:num w:numId="18">
    <w:abstractNumId w:val="9"/>
  </w:num>
  <w:num w:numId="19">
    <w:abstractNumId w:val="42"/>
  </w:num>
  <w:num w:numId="20">
    <w:abstractNumId w:val="13"/>
  </w:num>
  <w:num w:numId="21">
    <w:abstractNumId w:val="29"/>
  </w:num>
  <w:num w:numId="22">
    <w:abstractNumId w:val="7"/>
  </w:num>
  <w:num w:numId="23">
    <w:abstractNumId w:val="39"/>
  </w:num>
  <w:num w:numId="24">
    <w:abstractNumId w:val="18"/>
  </w:num>
  <w:num w:numId="25">
    <w:abstractNumId w:val="41"/>
  </w:num>
  <w:num w:numId="26">
    <w:abstractNumId w:val="24"/>
  </w:num>
  <w:num w:numId="27">
    <w:abstractNumId w:val="19"/>
  </w:num>
  <w:num w:numId="28">
    <w:abstractNumId w:val="26"/>
  </w:num>
  <w:num w:numId="29">
    <w:abstractNumId w:val="6"/>
  </w:num>
  <w:num w:numId="30">
    <w:abstractNumId w:val="23"/>
  </w:num>
  <w:num w:numId="31">
    <w:abstractNumId w:val="25"/>
  </w:num>
  <w:num w:numId="32">
    <w:abstractNumId w:val="4"/>
  </w:num>
  <w:num w:numId="33">
    <w:abstractNumId w:val="14"/>
  </w:num>
  <w:num w:numId="34">
    <w:abstractNumId w:val="1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8"/>
  </w:num>
  <w:num w:numId="41">
    <w:abstractNumId w:val="34"/>
  </w:num>
  <w:num w:numId="42">
    <w:abstractNumId w:val="33"/>
  </w:num>
  <w:num w:numId="43">
    <w:abstractNumId w:val="15"/>
  </w:num>
  <w:num w:numId="4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4F2"/>
    <w:rsid w:val="00002A73"/>
    <w:rsid w:val="00003B66"/>
    <w:rsid w:val="00005105"/>
    <w:rsid w:val="000055C3"/>
    <w:rsid w:val="0002215B"/>
    <w:rsid w:val="0002638A"/>
    <w:rsid w:val="000310C2"/>
    <w:rsid w:val="00042178"/>
    <w:rsid w:val="00044020"/>
    <w:rsid w:val="0004607B"/>
    <w:rsid w:val="0005009C"/>
    <w:rsid w:val="00051A91"/>
    <w:rsid w:val="00053A1C"/>
    <w:rsid w:val="00060EF1"/>
    <w:rsid w:val="00062B7B"/>
    <w:rsid w:val="00070FF2"/>
    <w:rsid w:val="00076F19"/>
    <w:rsid w:val="00077095"/>
    <w:rsid w:val="000930CA"/>
    <w:rsid w:val="000A2288"/>
    <w:rsid w:val="000B02C0"/>
    <w:rsid w:val="000B164E"/>
    <w:rsid w:val="000B6DC6"/>
    <w:rsid w:val="000C068B"/>
    <w:rsid w:val="000D1385"/>
    <w:rsid w:val="000D22C1"/>
    <w:rsid w:val="000F7CCC"/>
    <w:rsid w:val="0010126A"/>
    <w:rsid w:val="00102839"/>
    <w:rsid w:val="00104E16"/>
    <w:rsid w:val="00122CE1"/>
    <w:rsid w:val="00154E41"/>
    <w:rsid w:val="00156FA7"/>
    <w:rsid w:val="00166B26"/>
    <w:rsid w:val="00180203"/>
    <w:rsid w:val="00185F1E"/>
    <w:rsid w:val="0018727A"/>
    <w:rsid w:val="00187672"/>
    <w:rsid w:val="001A3F31"/>
    <w:rsid w:val="001A41E4"/>
    <w:rsid w:val="001B72F0"/>
    <w:rsid w:val="001E1112"/>
    <w:rsid w:val="001E2838"/>
    <w:rsid w:val="00201C92"/>
    <w:rsid w:val="0021438C"/>
    <w:rsid w:val="00230FCF"/>
    <w:rsid w:val="002410BF"/>
    <w:rsid w:val="00251828"/>
    <w:rsid w:val="00260D87"/>
    <w:rsid w:val="00261FC6"/>
    <w:rsid w:val="00262E8A"/>
    <w:rsid w:val="00266260"/>
    <w:rsid w:val="00272D82"/>
    <w:rsid w:val="00274CF7"/>
    <w:rsid w:val="0029115B"/>
    <w:rsid w:val="002A20C5"/>
    <w:rsid w:val="002A7894"/>
    <w:rsid w:val="002C0FD2"/>
    <w:rsid w:val="002E44D1"/>
    <w:rsid w:val="002F0700"/>
    <w:rsid w:val="002F1B4A"/>
    <w:rsid w:val="003265E1"/>
    <w:rsid w:val="003322A1"/>
    <w:rsid w:val="0033278C"/>
    <w:rsid w:val="00333290"/>
    <w:rsid w:val="00334AB2"/>
    <w:rsid w:val="00374341"/>
    <w:rsid w:val="00391825"/>
    <w:rsid w:val="003935A5"/>
    <w:rsid w:val="003B46D9"/>
    <w:rsid w:val="003E0E1B"/>
    <w:rsid w:val="003E5165"/>
    <w:rsid w:val="003E5A1D"/>
    <w:rsid w:val="003E7786"/>
    <w:rsid w:val="003F2579"/>
    <w:rsid w:val="003F3C4B"/>
    <w:rsid w:val="00406636"/>
    <w:rsid w:val="004119B6"/>
    <w:rsid w:val="004203BF"/>
    <w:rsid w:val="004223E5"/>
    <w:rsid w:val="00436ADA"/>
    <w:rsid w:val="00437632"/>
    <w:rsid w:val="004428D6"/>
    <w:rsid w:val="00450540"/>
    <w:rsid w:val="004508B4"/>
    <w:rsid w:val="00455C4E"/>
    <w:rsid w:val="004657B2"/>
    <w:rsid w:val="00466049"/>
    <w:rsid w:val="0047369A"/>
    <w:rsid w:val="0047687A"/>
    <w:rsid w:val="00476E85"/>
    <w:rsid w:val="00484787"/>
    <w:rsid w:val="004969F5"/>
    <w:rsid w:val="00496D87"/>
    <w:rsid w:val="004A144A"/>
    <w:rsid w:val="004A75B0"/>
    <w:rsid w:val="004B0AC3"/>
    <w:rsid w:val="004B3142"/>
    <w:rsid w:val="004B5A5E"/>
    <w:rsid w:val="004B6A5F"/>
    <w:rsid w:val="004C7FDF"/>
    <w:rsid w:val="004F0216"/>
    <w:rsid w:val="004F08AA"/>
    <w:rsid w:val="004F50B8"/>
    <w:rsid w:val="004F7882"/>
    <w:rsid w:val="0050053A"/>
    <w:rsid w:val="00503A0C"/>
    <w:rsid w:val="00503B8B"/>
    <w:rsid w:val="00513A5D"/>
    <w:rsid w:val="005148AD"/>
    <w:rsid w:val="005161D0"/>
    <w:rsid w:val="00526CA8"/>
    <w:rsid w:val="00537EA3"/>
    <w:rsid w:val="0054021B"/>
    <w:rsid w:val="00544992"/>
    <w:rsid w:val="005454F4"/>
    <w:rsid w:val="005615D6"/>
    <w:rsid w:val="005720CE"/>
    <w:rsid w:val="0057640C"/>
    <w:rsid w:val="00580061"/>
    <w:rsid w:val="0058187E"/>
    <w:rsid w:val="00595DBA"/>
    <w:rsid w:val="005D6EE5"/>
    <w:rsid w:val="005E7040"/>
    <w:rsid w:val="005F05D5"/>
    <w:rsid w:val="005F5944"/>
    <w:rsid w:val="006044F2"/>
    <w:rsid w:val="00623C14"/>
    <w:rsid w:val="0062472D"/>
    <w:rsid w:val="006279E3"/>
    <w:rsid w:val="00630204"/>
    <w:rsid w:val="00640D66"/>
    <w:rsid w:val="00640F9C"/>
    <w:rsid w:val="006543A0"/>
    <w:rsid w:val="00671CF5"/>
    <w:rsid w:val="00674468"/>
    <w:rsid w:val="00675151"/>
    <w:rsid w:val="006768F9"/>
    <w:rsid w:val="006900CA"/>
    <w:rsid w:val="00690620"/>
    <w:rsid w:val="006955DD"/>
    <w:rsid w:val="00697769"/>
    <w:rsid w:val="006A0181"/>
    <w:rsid w:val="006D19E0"/>
    <w:rsid w:val="006E1038"/>
    <w:rsid w:val="006E21D4"/>
    <w:rsid w:val="006E3393"/>
    <w:rsid w:val="006E4691"/>
    <w:rsid w:val="006F63CF"/>
    <w:rsid w:val="007129A5"/>
    <w:rsid w:val="0072157A"/>
    <w:rsid w:val="00746C49"/>
    <w:rsid w:val="00754E18"/>
    <w:rsid w:val="0075530B"/>
    <w:rsid w:val="00756B7D"/>
    <w:rsid w:val="007610B0"/>
    <w:rsid w:val="007626B2"/>
    <w:rsid w:val="0077528E"/>
    <w:rsid w:val="0077529E"/>
    <w:rsid w:val="00781233"/>
    <w:rsid w:val="00781B9D"/>
    <w:rsid w:val="00791612"/>
    <w:rsid w:val="007A1516"/>
    <w:rsid w:val="007A40D2"/>
    <w:rsid w:val="007B085B"/>
    <w:rsid w:val="007B5E71"/>
    <w:rsid w:val="007D79FB"/>
    <w:rsid w:val="007F21BF"/>
    <w:rsid w:val="007F24A6"/>
    <w:rsid w:val="007F5C85"/>
    <w:rsid w:val="00801292"/>
    <w:rsid w:val="00803594"/>
    <w:rsid w:val="00815CE1"/>
    <w:rsid w:val="008164E4"/>
    <w:rsid w:val="0082395C"/>
    <w:rsid w:val="00831FCF"/>
    <w:rsid w:val="00832F94"/>
    <w:rsid w:val="008666B9"/>
    <w:rsid w:val="00874D2D"/>
    <w:rsid w:val="0088275F"/>
    <w:rsid w:val="00882C4C"/>
    <w:rsid w:val="00884501"/>
    <w:rsid w:val="00885579"/>
    <w:rsid w:val="008873B8"/>
    <w:rsid w:val="00893AA6"/>
    <w:rsid w:val="008A62B6"/>
    <w:rsid w:val="008A7248"/>
    <w:rsid w:val="008E29AD"/>
    <w:rsid w:val="008F56BC"/>
    <w:rsid w:val="00905717"/>
    <w:rsid w:val="00912319"/>
    <w:rsid w:val="00914050"/>
    <w:rsid w:val="00914FE7"/>
    <w:rsid w:val="00936924"/>
    <w:rsid w:val="00941F72"/>
    <w:rsid w:val="0094221E"/>
    <w:rsid w:val="00986AFD"/>
    <w:rsid w:val="00987237"/>
    <w:rsid w:val="00987F8B"/>
    <w:rsid w:val="009905AD"/>
    <w:rsid w:val="0099082D"/>
    <w:rsid w:val="00995B2C"/>
    <w:rsid w:val="009A497D"/>
    <w:rsid w:val="009B3619"/>
    <w:rsid w:val="009B6FB1"/>
    <w:rsid w:val="009C2F7F"/>
    <w:rsid w:val="009E050B"/>
    <w:rsid w:val="009F220B"/>
    <w:rsid w:val="00A11E23"/>
    <w:rsid w:val="00A30C85"/>
    <w:rsid w:val="00A34423"/>
    <w:rsid w:val="00A3480B"/>
    <w:rsid w:val="00A40DC7"/>
    <w:rsid w:val="00A452EA"/>
    <w:rsid w:val="00A46F17"/>
    <w:rsid w:val="00A527B1"/>
    <w:rsid w:val="00A5509C"/>
    <w:rsid w:val="00A56FF3"/>
    <w:rsid w:val="00A60DFA"/>
    <w:rsid w:val="00A646E4"/>
    <w:rsid w:val="00A823BF"/>
    <w:rsid w:val="00A85CDA"/>
    <w:rsid w:val="00A97A66"/>
    <w:rsid w:val="00AA089B"/>
    <w:rsid w:val="00AA3DF5"/>
    <w:rsid w:val="00AB27AC"/>
    <w:rsid w:val="00AB35F4"/>
    <w:rsid w:val="00AC0311"/>
    <w:rsid w:val="00AC057C"/>
    <w:rsid w:val="00AC0E1B"/>
    <w:rsid w:val="00AD3804"/>
    <w:rsid w:val="00AD63F5"/>
    <w:rsid w:val="00AE1FFD"/>
    <w:rsid w:val="00B01DCD"/>
    <w:rsid w:val="00B0744A"/>
    <w:rsid w:val="00B10468"/>
    <w:rsid w:val="00B11A9C"/>
    <w:rsid w:val="00B16631"/>
    <w:rsid w:val="00B168D9"/>
    <w:rsid w:val="00B23B36"/>
    <w:rsid w:val="00B2425B"/>
    <w:rsid w:val="00B57B0A"/>
    <w:rsid w:val="00B64915"/>
    <w:rsid w:val="00B70652"/>
    <w:rsid w:val="00B71907"/>
    <w:rsid w:val="00B72D0A"/>
    <w:rsid w:val="00BB5BB4"/>
    <w:rsid w:val="00BC1569"/>
    <w:rsid w:val="00BC7518"/>
    <w:rsid w:val="00BD4AF4"/>
    <w:rsid w:val="00BF3E65"/>
    <w:rsid w:val="00BF5E89"/>
    <w:rsid w:val="00BF61B6"/>
    <w:rsid w:val="00BF6F99"/>
    <w:rsid w:val="00C01391"/>
    <w:rsid w:val="00C04443"/>
    <w:rsid w:val="00C1040A"/>
    <w:rsid w:val="00C128C0"/>
    <w:rsid w:val="00C24B46"/>
    <w:rsid w:val="00C269B7"/>
    <w:rsid w:val="00C27B81"/>
    <w:rsid w:val="00C362CF"/>
    <w:rsid w:val="00C410AB"/>
    <w:rsid w:val="00C5074B"/>
    <w:rsid w:val="00C51E40"/>
    <w:rsid w:val="00C61F82"/>
    <w:rsid w:val="00C92447"/>
    <w:rsid w:val="00CB136F"/>
    <w:rsid w:val="00CE6882"/>
    <w:rsid w:val="00CF357E"/>
    <w:rsid w:val="00CF703C"/>
    <w:rsid w:val="00D0073E"/>
    <w:rsid w:val="00D01716"/>
    <w:rsid w:val="00D0444F"/>
    <w:rsid w:val="00D04A7D"/>
    <w:rsid w:val="00D0562C"/>
    <w:rsid w:val="00D07E79"/>
    <w:rsid w:val="00D15DBB"/>
    <w:rsid w:val="00D221C6"/>
    <w:rsid w:val="00D24568"/>
    <w:rsid w:val="00D25995"/>
    <w:rsid w:val="00D32B85"/>
    <w:rsid w:val="00D43ADB"/>
    <w:rsid w:val="00D45952"/>
    <w:rsid w:val="00D5051E"/>
    <w:rsid w:val="00D51BF3"/>
    <w:rsid w:val="00D62D10"/>
    <w:rsid w:val="00D65220"/>
    <w:rsid w:val="00D704D7"/>
    <w:rsid w:val="00D708D5"/>
    <w:rsid w:val="00D75536"/>
    <w:rsid w:val="00D77EA1"/>
    <w:rsid w:val="00D92E3F"/>
    <w:rsid w:val="00DA2A34"/>
    <w:rsid w:val="00DC4218"/>
    <w:rsid w:val="00DC7AA0"/>
    <w:rsid w:val="00DD1675"/>
    <w:rsid w:val="00DE19F9"/>
    <w:rsid w:val="00DE3611"/>
    <w:rsid w:val="00DE7EF9"/>
    <w:rsid w:val="00DF1754"/>
    <w:rsid w:val="00DF2466"/>
    <w:rsid w:val="00DF6549"/>
    <w:rsid w:val="00E005EF"/>
    <w:rsid w:val="00E00D5D"/>
    <w:rsid w:val="00E06826"/>
    <w:rsid w:val="00E069FF"/>
    <w:rsid w:val="00E0743B"/>
    <w:rsid w:val="00E13992"/>
    <w:rsid w:val="00E1430E"/>
    <w:rsid w:val="00E2424D"/>
    <w:rsid w:val="00E2651B"/>
    <w:rsid w:val="00E43BCB"/>
    <w:rsid w:val="00E455D8"/>
    <w:rsid w:val="00E73404"/>
    <w:rsid w:val="00E83BBD"/>
    <w:rsid w:val="00E8586D"/>
    <w:rsid w:val="00EA380C"/>
    <w:rsid w:val="00EB09A3"/>
    <w:rsid w:val="00EC4A01"/>
    <w:rsid w:val="00EC5460"/>
    <w:rsid w:val="00EC72D3"/>
    <w:rsid w:val="00ED4105"/>
    <w:rsid w:val="00EF5546"/>
    <w:rsid w:val="00EF648C"/>
    <w:rsid w:val="00F118D7"/>
    <w:rsid w:val="00F13BFE"/>
    <w:rsid w:val="00F17BD7"/>
    <w:rsid w:val="00F2658A"/>
    <w:rsid w:val="00F70D78"/>
    <w:rsid w:val="00F746DB"/>
    <w:rsid w:val="00F8181D"/>
    <w:rsid w:val="00F83317"/>
    <w:rsid w:val="00F86516"/>
    <w:rsid w:val="00F91195"/>
    <w:rsid w:val="00F94512"/>
    <w:rsid w:val="00FA05AE"/>
    <w:rsid w:val="00FA4ACE"/>
    <w:rsid w:val="00FE108D"/>
    <w:rsid w:val="00FE2056"/>
    <w:rsid w:val="00FF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BD20"/>
  <w15:docId w15:val="{3C032775-5EA4-427A-84BB-B60D4AAF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4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F2"/>
    <w:pPr>
      <w:ind w:left="720"/>
      <w:contextualSpacing/>
    </w:pPr>
  </w:style>
  <w:style w:type="paragraph" w:styleId="BalloonText">
    <w:name w:val="Balloon Text"/>
    <w:basedOn w:val="Normal"/>
    <w:link w:val="BalloonTextChar"/>
    <w:uiPriority w:val="99"/>
    <w:semiHidden/>
    <w:unhideWhenUsed/>
    <w:rsid w:val="00995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2C"/>
    <w:rPr>
      <w:rFonts w:ascii="Tahoma" w:hAnsi="Tahoma" w:cs="Tahoma"/>
      <w:sz w:val="16"/>
      <w:szCs w:val="16"/>
    </w:rPr>
  </w:style>
  <w:style w:type="character" w:styleId="Hyperlink">
    <w:name w:val="Hyperlink"/>
    <w:basedOn w:val="DefaultParagraphFont"/>
    <w:uiPriority w:val="99"/>
    <w:unhideWhenUsed/>
    <w:rsid w:val="00A34423"/>
    <w:rPr>
      <w:color w:val="0000FF" w:themeColor="hyperlink"/>
      <w:u w:val="single"/>
    </w:rPr>
  </w:style>
  <w:style w:type="character" w:styleId="FollowedHyperlink">
    <w:name w:val="FollowedHyperlink"/>
    <w:basedOn w:val="DefaultParagraphFont"/>
    <w:uiPriority w:val="99"/>
    <w:semiHidden/>
    <w:unhideWhenUsed/>
    <w:rsid w:val="00496D87"/>
    <w:rPr>
      <w:color w:val="800080" w:themeColor="followedHyperlink"/>
      <w:u w:val="single"/>
    </w:rPr>
  </w:style>
  <w:style w:type="character" w:customStyle="1" w:styleId="st">
    <w:name w:val="st"/>
    <w:basedOn w:val="DefaultParagraphFont"/>
    <w:rsid w:val="00EB09A3"/>
  </w:style>
  <w:style w:type="paragraph" w:styleId="BodyText">
    <w:name w:val="Body Text"/>
    <w:basedOn w:val="Normal"/>
    <w:link w:val="BodyTextChar"/>
    <w:rsid w:val="000930CA"/>
    <w:pPr>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930CA"/>
    <w:rPr>
      <w:rFonts w:ascii="Times New Roman" w:eastAsia="Times New Roman" w:hAnsi="Times New Roman" w:cs="Times New Roman"/>
      <w:spacing w:val="-3"/>
      <w:sz w:val="24"/>
      <w:szCs w:val="20"/>
    </w:rPr>
  </w:style>
  <w:style w:type="character" w:styleId="UnresolvedMention">
    <w:name w:val="Unresolved Mention"/>
    <w:basedOn w:val="DefaultParagraphFont"/>
    <w:uiPriority w:val="99"/>
    <w:semiHidden/>
    <w:unhideWhenUsed/>
    <w:rsid w:val="00671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620">
      <w:bodyDiv w:val="1"/>
      <w:marLeft w:val="0"/>
      <w:marRight w:val="0"/>
      <w:marTop w:val="0"/>
      <w:marBottom w:val="0"/>
      <w:divBdr>
        <w:top w:val="none" w:sz="0" w:space="0" w:color="auto"/>
        <w:left w:val="none" w:sz="0" w:space="0" w:color="auto"/>
        <w:bottom w:val="none" w:sz="0" w:space="0" w:color="auto"/>
        <w:right w:val="none" w:sz="0" w:space="0" w:color="auto"/>
      </w:divBdr>
    </w:div>
    <w:div w:id="390538821">
      <w:bodyDiv w:val="1"/>
      <w:marLeft w:val="0"/>
      <w:marRight w:val="0"/>
      <w:marTop w:val="0"/>
      <w:marBottom w:val="0"/>
      <w:divBdr>
        <w:top w:val="none" w:sz="0" w:space="0" w:color="auto"/>
        <w:left w:val="none" w:sz="0" w:space="0" w:color="auto"/>
        <w:bottom w:val="none" w:sz="0" w:space="0" w:color="auto"/>
        <w:right w:val="none" w:sz="0" w:space="0" w:color="auto"/>
      </w:divBdr>
    </w:div>
    <w:div w:id="646980176">
      <w:bodyDiv w:val="1"/>
      <w:marLeft w:val="0"/>
      <w:marRight w:val="0"/>
      <w:marTop w:val="0"/>
      <w:marBottom w:val="0"/>
      <w:divBdr>
        <w:top w:val="none" w:sz="0" w:space="0" w:color="auto"/>
        <w:left w:val="none" w:sz="0" w:space="0" w:color="auto"/>
        <w:bottom w:val="none" w:sz="0" w:space="0" w:color="auto"/>
        <w:right w:val="none" w:sz="0" w:space="0" w:color="auto"/>
      </w:divBdr>
    </w:div>
    <w:div w:id="806319019">
      <w:bodyDiv w:val="1"/>
      <w:marLeft w:val="0"/>
      <w:marRight w:val="0"/>
      <w:marTop w:val="0"/>
      <w:marBottom w:val="0"/>
      <w:divBdr>
        <w:top w:val="none" w:sz="0" w:space="0" w:color="auto"/>
        <w:left w:val="none" w:sz="0" w:space="0" w:color="auto"/>
        <w:bottom w:val="none" w:sz="0" w:space="0" w:color="auto"/>
        <w:right w:val="none" w:sz="0" w:space="0" w:color="auto"/>
      </w:divBdr>
    </w:div>
    <w:div w:id="835152405">
      <w:bodyDiv w:val="1"/>
      <w:marLeft w:val="0"/>
      <w:marRight w:val="0"/>
      <w:marTop w:val="0"/>
      <w:marBottom w:val="0"/>
      <w:divBdr>
        <w:top w:val="none" w:sz="0" w:space="0" w:color="auto"/>
        <w:left w:val="none" w:sz="0" w:space="0" w:color="auto"/>
        <w:bottom w:val="none" w:sz="0" w:space="0" w:color="auto"/>
        <w:right w:val="none" w:sz="0" w:space="0" w:color="auto"/>
      </w:divBdr>
    </w:div>
    <w:div w:id="1169906326">
      <w:bodyDiv w:val="1"/>
      <w:marLeft w:val="0"/>
      <w:marRight w:val="0"/>
      <w:marTop w:val="0"/>
      <w:marBottom w:val="0"/>
      <w:divBdr>
        <w:top w:val="none" w:sz="0" w:space="0" w:color="auto"/>
        <w:left w:val="none" w:sz="0" w:space="0" w:color="auto"/>
        <w:bottom w:val="none" w:sz="0" w:space="0" w:color="auto"/>
        <w:right w:val="none" w:sz="0" w:space="0" w:color="auto"/>
      </w:divBdr>
    </w:div>
    <w:div w:id="1197888879">
      <w:bodyDiv w:val="1"/>
      <w:marLeft w:val="0"/>
      <w:marRight w:val="0"/>
      <w:marTop w:val="0"/>
      <w:marBottom w:val="0"/>
      <w:divBdr>
        <w:top w:val="none" w:sz="0" w:space="0" w:color="auto"/>
        <w:left w:val="none" w:sz="0" w:space="0" w:color="auto"/>
        <w:bottom w:val="none" w:sz="0" w:space="0" w:color="auto"/>
        <w:right w:val="none" w:sz="0" w:space="0" w:color="auto"/>
      </w:divBdr>
    </w:div>
    <w:div w:id="1266889977">
      <w:bodyDiv w:val="1"/>
      <w:marLeft w:val="0"/>
      <w:marRight w:val="0"/>
      <w:marTop w:val="0"/>
      <w:marBottom w:val="0"/>
      <w:divBdr>
        <w:top w:val="none" w:sz="0" w:space="0" w:color="auto"/>
        <w:left w:val="none" w:sz="0" w:space="0" w:color="auto"/>
        <w:bottom w:val="none" w:sz="0" w:space="0" w:color="auto"/>
        <w:right w:val="none" w:sz="0" w:space="0" w:color="auto"/>
      </w:divBdr>
    </w:div>
    <w:div w:id="1508204035">
      <w:bodyDiv w:val="1"/>
      <w:marLeft w:val="0"/>
      <w:marRight w:val="0"/>
      <w:marTop w:val="0"/>
      <w:marBottom w:val="0"/>
      <w:divBdr>
        <w:top w:val="none" w:sz="0" w:space="0" w:color="auto"/>
        <w:left w:val="none" w:sz="0" w:space="0" w:color="auto"/>
        <w:bottom w:val="none" w:sz="0" w:space="0" w:color="auto"/>
        <w:right w:val="none" w:sz="0" w:space="0" w:color="auto"/>
      </w:divBdr>
    </w:div>
    <w:div w:id="15252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cal.treasury.gov/fsservices/gov/pmt/promptPayment/promptPayment_home.htm" TargetMode="External"/><Relationship Id="rId13" Type="http://schemas.openxmlformats.org/officeDocument/2006/relationships/hyperlink" Target="file:///\\espr1fs11\m_drive\DOT\FPA\Internal_Services\Audit%20Procedures\AttachmentII-VoucherChecklist.pdf" TargetMode="External"/><Relationship Id="rId18" Type="http://schemas.openxmlformats.org/officeDocument/2006/relationships/hyperlink" Target="http://www.gasb.org/" TargetMode="External"/><Relationship Id="rId26" Type="http://schemas.openxmlformats.org/officeDocument/2006/relationships/hyperlink" Target="http://www.investorwords.com/3100/money.html" TargetMode="External"/><Relationship Id="rId3" Type="http://schemas.openxmlformats.org/officeDocument/2006/relationships/settings" Target="settings.xml"/><Relationship Id="rId21" Type="http://schemas.openxmlformats.org/officeDocument/2006/relationships/hyperlink" Target="http://www.fhwa.dot.gov/programadmin/121205.cfm" TargetMode="External"/><Relationship Id="rId7" Type="http://schemas.openxmlformats.org/officeDocument/2006/relationships/hyperlink" Target="https://audit.transportation.org/" TargetMode="External"/><Relationship Id="rId12" Type="http://schemas.openxmlformats.org/officeDocument/2006/relationships/hyperlink" Target="file:///\\espr1fs11\m_drive\DOT\FPA\Internal_Services\Audit%20Procedures\Subrecipient%20Risk%20Assessment%20and%20Ongoing%20Monitoring%20Plan.docx" TargetMode="External"/><Relationship Id="rId17" Type="http://schemas.openxmlformats.org/officeDocument/2006/relationships/hyperlink" Target="https://dot.sd.gov/doing-business/engineering/design-services/consultant-services" TargetMode="External"/><Relationship Id="rId25" Type="http://schemas.openxmlformats.org/officeDocument/2006/relationships/hyperlink" Target="http://www.investorwords.com/3634/payment.html" TargetMode="External"/><Relationship Id="rId2" Type="http://schemas.openxmlformats.org/officeDocument/2006/relationships/styles" Target="styles.xml"/><Relationship Id="rId16" Type="http://schemas.openxmlformats.org/officeDocument/2006/relationships/hyperlink" Target="https://intapps.sd.gov/hm90Policy/detail.aspx?args=34FFC166EE4CFBCC3EBFE3608327B464724D822E1E00ABAC" TargetMode="External"/><Relationship Id="rId20" Type="http://schemas.openxmlformats.org/officeDocument/2006/relationships/hyperlink" Target="https://www.whitehouse.gov/omb/information-for-agencies/circula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fr.gov/cgi-bin/text-idx?tpl=/ecfrbrowse/Title02/2cfr200_main_02.tpl" TargetMode="External"/><Relationship Id="rId11" Type="http://schemas.openxmlformats.org/officeDocument/2006/relationships/hyperlink" Target="file:///\\espr1fs11\m_drive\DOT\FPA\Internal_Services\Audit%20Procedures\AttachmentII-VoucherChecklist.pdf" TargetMode="External"/><Relationship Id="rId24" Type="http://schemas.openxmlformats.org/officeDocument/2006/relationships/hyperlink" Target="http://www.investorwords.com/2531/interest.html" TargetMode="External"/><Relationship Id="rId5" Type="http://schemas.openxmlformats.org/officeDocument/2006/relationships/hyperlink" Target="https://www.ecfr.gov/cgi-bin/text-idx?rgn=div5&amp;node=23:1.0.1.2.3" TargetMode="External"/><Relationship Id="rId15" Type="http://schemas.openxmlformats.org/officeDocument/2006/relationships/hyperlink" Target="http://www.ecfr.gov/cgi-bin/text-idx?rgn=div5&amp;node=23:1.0.1.2.3" TargetMode="External"/><Relationship Id="rId23" Type="http://schemas.openxmlformats.org/officeDocument/2006/relationships/hyperlink" Target="http://www.investorwords.com/3880/profit.html" TargetMode="External"/><Relationship Id="rId28" Type="http://schemas.openxmlformats.org/officeDocument/2006/relationships/fontTable" Target="fontTable.xml"/><Relationship Id="rId10" Type="http://schemas.openxmlformats.org/officeDocument/2006/relationships/hyperlink" Target="file:///\\espr1fs11\m_drive\DOT\FPA\Internal_Services\Audit%20Procedures\LaborEstimate.xlsx" TargetMode="External"/><Relationship Id="rId19" Type="http://schemas.openxmlformats.org/officeDocument/2006/relationships/hyperlink" Target="http://www.gao.gov/yellowbook/overview" TargetMode="External"/><Relationship Id="rId4" Type="http://schemas.openxmlformats.org/officeDocument/2006/relationships/webSettings" Target="webSettings.xml"/><Relationship Id="rId9" Type="http://schemas.openxmlformats.org/officeDocument/2006/relationships/hyperlink" Target="http://www.sddot.com/business/design/consultant/Default.aspx" TargetMode="External"/><Relationship Id="rId14" Type="http://schemas.openxmlformats.org/officeDocument/2006/relationships/hyperlink" Target="http://www.ecfr.gov/cgi-bin/text-idx?tpl=/ecfrbrowse/Title02/2cfr200_main_02.tpl" TargetMode="External"/><Relationship Id="rId22" Type="http://schemas.openxmlformats.org/officeDocument/2006/relationships/hyperlink" Target="http://www.investorwords.com/205/amount.html" TargetMode="External"/><Relationship Id="rId27" Type="http://schemas.openxmlformats.org/officeDocument/2006/relationships/hyperlink" Target="http://www.accountingweb.com/topic/accounting-auditing/federal-contracts-unallowable-costs-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21</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Bardeson, Jessicca</dc:creator>
  <cp:lastModifiedBy>Uhrig, Jana</cp:lastModifiedBy>
  <cp:revision>10</cp:revision>
  <cp:lastPrinted>2018-10-31T16:36:00Z</cp:lastPrinted>
  <dcterms:created xsi:type="dcterms:W3CDTF">2022-03-10T17:30:00Z</dcterms:created>
  <dcterms:modified xsi:type="dcterms:W3CDTF">2022-03-10T21:59:00Z</dcterms:modified>
</cp:coreProperties>
</file>