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A624A9" w14:paraId="566DF23B" w14:textId="77777777" w:rsidTr="00A624A9">
        <w:tc>
          <w:tcPr>
            <w:tcW w:w="3116" w:type="dxa"/>
            <w:hideMark/>
          </w:tcPr>
          <w:p w14:paraId="673B757E" w14:textId="1D931534" w:rsidR="00A624A9" w:rsidRDefault="00A624A9">
            <w:pPr>
              <w:pStyle w:val="Header"/>
              <w:rPr>
                <w:rFonts w:asciiTheme="majorHAnsi" w:eastAsiaTheme="majorEastAsia" w:hAnsiTheme="majorHAnsi" w:cstheme="majorBidi"/>
                <w:color w:val="4F81BD" w:themeColor="accent1"/>
                <w:szCs w:val="24"/>
              </w:rPr>
            </w:pPr>
            <w:r>
              <w:rPr>
                <w:rFonts w:asciiTheme="majorHAnsi" w:eastAsiaTheme="majorEastAsia" w:hAnsiTheme="majorHAnsi" w:cstheme="majorBidi"/>
                <w:noProof/>
                <w:color w:val="4F81BD" w:themeColor="accent1"/>
                <w:szCs w:val="24"/>
              </w:rPr>
              <w:drawing>
                <wp:inline distT="0" distB="0" distL="0" distR="0" wp14:anchorId="06939804" wp14:editId="03563745">
                  <wp:extent cx="1533525" cy="10953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inline>
              </w:drawing>
            </w:r>
          </w:p>
        </w:tc>
        <w:tc>
          <w:tcPr>
            <w:tcW w:w="6964" w:type="dxa"/>
            <w:hideMark/>
          </w:tcPr>
          <w:p w14:paraId="6F174AC5" w14:textId="77777777" w:rsidR="00A624A9" w:rsidRDefault="00A624A9">
            <w:pPr>
              <w:pStyle w:val="Header"/>
              <w:jc w:val="right"/>
              <w:rPr>
                <w:rFonts w:asciiTheme="minorHAnsi" w:eastAsiaTheme="majorEastAsia" w:hAnsiTheme="minorHAnsi" w:cstheme="minorHAnsi"/>
                <w:b/>
                <w:bCs/>
                <w:color w:val="2E6B8D"/>
                <w:sz w:val="32"/>
                <w:szCs w:val="32"/>
              </w:rPr>
            </w:pPr>
            <w:r>
              <w:rPr>
                <w:rFonts w:asciiTheme="minorHAnsi" w:eastAsiaTheme="majorEastAsia" w:hAnsiTheme="minorHAnsi" w:cstheme="minorHAnsi"/>
                <w:b/>
                <w:bCs/>
                <w:color w:val="2E6B8D"/>
                <w:sz w:val="32"/>
                <w:szCs w:val="32"/>
              </w:rPr>
              <w:t>Planning and Engineering</w:t>
            </w:r>
          </w:p>
          <w:p w14:paraId="6B9C6C43" w14:textId="77777777" w:rsidR="00A624A9" w:rsidRDefault="00A624A9">
            <w:pPr>
              <w:pStyle w:val="Header"/>
              <w:jc w:val="right"/>
              <w:rPr>
                <w:rFonts w:asciiTheme="minorHAnsi" w:eastAsiaTheme="majorEastAsia" w:hAnsiTheme="minorHAnsi" w:cstheme="minorHAnsi"/>
                <w:b/>
                <w:bCs/>
                <w:color w:val="2E6B8D"/>
                <w:sz w:val="22"/>
                <w:szCs w:val="22"/>
              </w:rPr>
            </w:pPr>
            <w:r>
              <w:rPr>
                <w:rFonts w:asciiTheme="minorHAnsi" w:eastAsiaTheme="majorEastAsia" w:hAnsiTheme="minorHAnsi" w:cstheme="minorHAnsi"/>
                <w:b/>
                <w:bCs/>
                <w:color w:val="2E6B8D"/>
                <w:sz w:val="22"/>
                <w:szCs w:val="22"/>
              </w:rPr>
              <w:t>Environmental Office</w:t>
            </w:r>
          </w:p>
          <w:p w14:paraId="6AF23A8D" w14:textId="77777777" w:rsidR="00A624A9" w:rsidRDefault="00A624A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700 E Broadway Avenue</w:t>
            </w:r>
          </w:p>
          <w:p w14:paraId="69BD28EF" w14:textId="77777777" w:rsidR="00A624A9" w:rsidRDefault="00A624A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Pierre, SD 57501-2586</w:t>
            </w:r>
          </w:p>
          <w:p w14:paraId="18D84074" w14:textId="77777777" w:rsidR="00A624A9" w:rsidRDefault="00A624A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O: 605.773.4336</w:t>
            </w:r>
          </w:p>
          <w:p w14:paraId="3B2D5DA2" w14:textId="77777777" w:rsidR="00A624A9" w:rsidRDefault="00A624A9">
            <w:pPr>
              <w:pStyle w:val="Header"/>
              <w:jc w:val="right"/>
              <w:rPr>
                <w:rFonts w:eastAsiaTheme="majorEastAsia" w:cstheme="majorBidi"/>
                <w:color w:val="4F81BD" w:themeColor="accent1"/>
                <w:sz w:val="24"/>
              </w:rPr>
            </w:pPr>
            <w:r>
              <w:rPr>
                <w:rFonts w:asciiTheme="minorHAnsi" w:eastAsiaTheme="majorEastAsia" w:hAnsiTheme="minorHAnsi" w:cstheme="minorHAnsi"/>
                <w:color w:val="2E6B8D"/>
                <w:sz w:val="22"/>
                <w:szCs w:val="22"/>
              </w:rPr>
              <w:t>dot.sd.gov</w:t>
            </w:r>
          </w:p>
        </w:tc>
      </w:tr>
    </w:tbl>
    <w:p w14:paraId="0A97940D" w14:textId="77777777" w:rsidR="00E84330" w:rsidRPr="007E2A6A" w:rsidRDefault="00E84330" w:rsidP="00686FA4">
      <w:pPr>
        <w:rPr>
          <w:rFonts w:asciiTheme="minorHAnsi" w:hAnsiTheme="minorHAnsi" w:cstheme="minorHAnsi"/>
          <w:sz w:val="22"/>
          <w:szCs w:val="22"/>
        </w:rPr>
      </w:pPr>
    </w:p>
    <w:p w14:paraId="0F5E0902" w14:textId="304ED379" w:rsidR="00370764" w:rsidRPr="007E2A6A" w:rsidRDefault="00323B10" w:rsidP="00370764">
      <w:pPr>
        <w:pStyle w:val="BodyText"/>
        <w:spacing w:after="0"/>
        <w:outlineLvl w:val="0"/>
        <w:rPr>
          <w:rFonts w:asciiTheme="minorHAnsi" w:hAnsiTheme="minorHAnsi" w:cstheme="minorHAnsi"/>
          <w:sz w:val="22"/>
          <w:szCs w:val="22"/>
        </w:rPr>
      </w:pPr>
      <w:r>
        <w:rPr>
          <w:rFonts w:asciiTheme="minorHAnsi" w:hAnsiTheme="minorHAnsi" w:cstheme="minorHAnsi"/>
          <w:sz w:val="22"/>
          <w:szCs w:val="22"/>
        </w:rPr>
        <w:t>April 25</w:t>
      </w:r>
      <w:r w:rsidR="00370764" w:rsidRPr="007E2A6A">
        <w:rPr>
          <w:rFonts w:asciiTheme="minorHAnsi" w:hAnsiTheme="minorHAnsi" w:cstheme="minorHAnsi"/>
          <w:sz w:val="22"/>
          <w:szCs w:val="22"/>
        </w:rPr>
        <w:t>, 202</w:t>
      </w:r>
      <w:r>
        <w:rPr>
          <w:rFonts w:asciiTheme="minorHAnsi" w:hAnsiTheme="minorHAnsi" w:cstheme="minorHAnsi"/>
          <w:sz w:val="22"/>
          <w:szCs w:val="22"/>
        </w:rPr>
        <w:t>3</w:t>
      </w:r>
    </w:p>
    <w:p w14:paraId="258C4175" w14:textId="77777777" w:rsidR="00370764" w:rsidRPr="007E2A6A" w:rsidRDefault="00370764" w:rsidP="00370764">
      <w:pPr>
        <w:pStyle w:val="BodyText"/>
        <w:spacing w:after="0"/>
        <w:outlineLvl w:val="0"/>
        <w:rPr>
          <w:rFonts w:asciiTheme="minorHAnsi" w:hAnsiTheme="minorHAnsi" w:cstheme="minorHAnsi"/>
          <w:sz w:val="22"/>
          <w:szCs w:val="22"/>
        </w:rPr>
      </w:pPr>
    </w:p>
    <w:p w14:paraId="10B7F408" w14:textId="77777777" w:rsidR="00370764" w:rsidRPr="007E2A6A" w:rsidRDefault="00370764" w:rsidP="00370764">
      <w:pPr>
        <w:pStyle w:val="BodyText"/>
        <w:spacing w:after="0"/>
        <w:outlineLvl w:val="0"/>
        <w:rPr>
          <w:rFonts w:asciiTheme="minorHAnsi" w:hAnsiTheme="minorHAnsi" w:cstheme="minorHAnsi"/>
          <w:sz w:val="22"/>
          <w:szCs w:val="22"/>
        </w:rPr>
      </w:pPr>
      <w:r w:rsidRPr="007E2A6A">
        <w:rPr>
          <w:rFonts w:asciiTheme="minorHAnsi" w:hAnsiTheme="minorHAnsi" w:cstheme="minorHAnsi"/>
          <w:sz w:val="22"/>
          <w:szCs w:val="22"/>
        </w:rPr>
        <w:t>Jozef Lamfers, Review &amp; Compliance Archaeologist</w:t>
      </w:r>
    </w:p>
    <w:p w14:paraId="7C19982A" w14:textId="77777777" w:rsidR="00370764" w:rsidRPr="007E2A6A" w:rsidRDefault="00370764" w:rsidP="00370764">
      <w:pPr>
        <w:pStyle w:val="BodyText"/>
        <w:spacing w:after="0"/>
        <w:outlineLvl w:val="0"/>
        <w:rPr>
          <w:rFonts w:asciiTheme="minorHAnsi" w:hAnsiTheme="minorHAnsi" w:cstheme="minorHAnsi"/>
          <w:sz w:val="22"/>
          <w:szCs w:val="22"/>
        </w:rPr>
      </w:pPr>
      <w:r w:rsidRPr="007E2A6A">
        <w:rPr>
          <w:rFonts w:asciiTheme="minorHAnsi" w:hAnsiTheme="minorHAnsi" w:cstheme="minorHAnsi"/>
          <w:sz w:val="22"/>
          <w:szCs w:val="22"/>
        </w:rPr>
        <w:t>State Historic Preservation Office</w:t>
      </w:r>
    </w:p>
    <w:p w14:paraId="7CEF8B79" w14:textId="77777777" w:rsidR="00370764" w:rsidRPr="007E2A6A" w:rsidRDefault="00370764" w:rsidP="00370764">
      <w:pPr>
        <w:pStyle w:val="BodyText"/>
        <w:spacing w:after="0"/>
        <w:outlineLvl w:val="0"/>
        <w:rPr>
          <w:rFonts w:asciiTheme="minorHAnsi" w:hAnsiTheme="minorHAnsi" w:cstheme="minorHAnsi"/>
          <w:sz w:val="22"/>
          <w:szCs w:val="22"/>
        </w:rPr>
      </w:pPr>
      <w:r w:rsidRPr="007E2A6A">
        <w:rPr>
          <w:rFonts w:asciiTheme="minorHAnsi" w:hAnsiTheme="minorHAnsi" w:cstheme="minorHAnsi"/>
          <w:sz w:val="22"/>
          <w:szCs w:val="22"/>
        </w:rPr>
        <w:t>Cultural Heritage Center</w:t>
      </w:r>
    </w:p>
    <w:p w14:paraId="0CC6A9DB" w14:textId="77777777" w:rsidR="00370764" w:rsidRPr="007E2A6A" w:rsidRDefault="00370764" w:rsidP="00370764">
      <w:pPr>
        <w:pStyle w:val="BodyText"/>
        <w:spacing w:after="0"/>
        <w:outlineLvl w:val="0"/>
        <w:rPr>
          <w:rFonts w:asciiTheme="minorHAnsi" w:hAnsiTheme="minorHAnsi" w:cstheme="minorHAnsi"/>
          <w:sz w:val="22"/>
          <w:szCs w:val="22"/>
        </w:rPr>
      </w:pPr>
      <w:r w:rsidRPr="007E2A6A">
        <w:rPr>
          <w:rFonts w:asciiTheme="minorHAnsi" w:hAnsiTheme="minorHAnsi" w:cstheme="minorHAnsi"/>
          <w:sz w:val="22"/>
          <w:szCs w:val="22"/>
        </w:rPr>
        <w:t>900 Governors Drive</w:t>
      </w:r>
    </w:p>
    <w:p w14:paraId="1D7395E7" w14:textId="0F9A18F8" w:rsidR="00AB2A19" w:rsidRPr="007E2A6A" w:rsidRDefault="00370764" w:rsidP="00370764">
      <w:pPr>
        <w:pStyle w:val="BodyText"/>
        <w:spacing w:after="0"/>
        <w:outlineLvl w:val="0"/>
        <w:rPr>
          <w:rFonts w:asciiTheme="minorHAnsi" w:hAnsiTheme="minorHAnsi" w:cstheme="minorHAnsi"/>
          <w:sz w:val="22"/>
          <w:szCs w:val="22"/>
        </w:rPr>
      </w:pPr>
      <w:r w:rsidRPr="007E2A6A">
        <w:rPr>
          <w:rFonts w:asciiTheme="minorHAnsi" w:hAnsiTheme="minorHAnsi" w:cstheme="minorHAnsi"/>
          <w:sz w:val="22"/>
          <w:szCs w:val="22"/>
        </w:rPr>
        <w:t>Pierre, SD 57501-2217</w:t>
      </w:r>
    </w:p>
    <w:p w14:paraId="25BC986B" w14:textId="77777777" w:rsidR="00370764" w:rsidRPr="007E2A6A" w:rsidRDefault="00370764" w:rsidP="00370764">
      <w:pPr>
        <w:pStyle w:val="BodyText"/>
        <w:spacing w:after="0"/>
        <w:outlineLvl w:val="0"/>
        <w:rPr>
          <w:rFonts w:asciiTheme="minorHAnsi" w:hAnsiTheme="minorHAnsi" w:cstheme="minorHAnsi"/>
          <w:sz w:val="22"/>
        </w:rPr>
      </w:pPr>
    </w:p>
    <w:p w14:paraId="60524B41" w14:textId="0463E4A6" w:rsidR="00464C64" w:rsidRPr="007E2A6A" w:rsidRDefault="00464C64" w:rsidP="00064E27">
      <w:pPr>
        <w:pStyle w:val="CcList"/>
        <w:ind w:left="990" w:hanging="990"/>
        <w:jc w:val="both"/>
        <w:rPr>
          <w:rFonts w:asciiTheme="minorHAnsi" w:hAnsiTheme="minorHAnsi" w:cstheme="minorHAnsi"/>
          <w:b/>
          <w:bCs/>
          <w:sz w:val="22"/>
        </w:rPr>
      </w:pPr>
      <w:r w:rsidRPr="007E2A6A">
        <w:rPr>
          <w:rFonts w:asciiTheme="minorHAnsi" w:hAnsiTheme="minorHAnsi" w:cstheme="minorHAnsi"/>
          <w:b/>
          <w:bCs/>
          <w:sz w:val="22"/>
        </w:rPr>
        <w:t xml:space="preserve">Subject: </w:t>
      </w:r>
      <w:r w:rsidR="005175F0">
        <w:rPr>
          <w:rFonts w:asciiTheme="minorHAnsi" w:hAnsiTheme="minorHAnsi" w:cstheme="minorHAnsi"/>
          <w:b/>
          <w:bCs/>
          <w:sz w:val="22"/>
        </w:rPr>
        <w:tab/>
      </w:r>
      <w:r w:rsidRPr="007E2A6A">
        <w:rPr>
          <w:rFonts w:asciiTheme="minorHAnsi" w:hAnsiTheme="minorHAnsi" w:cstheme="minorHAnsi"/>
          <w:b/>
          <w:bCs/>
          <w:sz w:val="22"/>
        </w:rPr>
        <w:t xml:space="preserve">Official with Jurisdiction (OWJ) </w:t>
      </w:r>
      <w:r w:rsidR="00064E27" w:rsidRPr="007E2A6A">
        <w:rPr>
          <w:rFonts w:asciiTheme="minorHAnsi" w:hAnsiTheme="minorHAnsi" w:cstheme="minorHAnsi"/>
          <w:b/>
          <w:bCs/>
          <w:sz w:val="22"/>
        </w:rPr>
        <w:t>Notification of</w:t>
      </w:r>
      <w:r w:rsidRPr="007E2A6A">
        <w:rPr>
          <w:rFonts w:asciiTheme="minorHAnsi" w:hAnsiTheme="minorHAnsi" w:cstheme="minorHAnsi"/>
          <w:b/>
          <w:bCs/>
          <w:sz w:val="22"/>
        </w:rPr>
        <w:t xml:space="preserve"> Section 4(f) Exception for </w:t>
      </w:r>
      <w:r w:rsidR="00370764" w:rsidRPr="007E2A6A">
        <w:rPr>
          <w:rFonts w:asciiTheme="minorHAnsi" w:hAnsiTheme="minorHAnsi" w:cstheme="minorHAnsi"/>
          <w:b/>
          <w:bCs/>
          <w:sz w:val="22"/>
        </w:rPr>
        <w:t xml:space="preserve">Archeological Sites That Are On or Eligible for the National Register </w:t>
      </w:r>
      <w:r w:rsidRPr="007E2A6A">
        <w:rPr>
          <w:rFonts w:asciiTheme="minorHAnsi" w:hAnsiTheme="minorHAnsi" w:cstheme="minorHAnsi"/>
          <w:b/>
          <w:bCs/>
          <w:sz w:val="22"/>
        </w:rPr>
        <w:t>[23 CFR 774.13(</w:t>
      </w:r>
      <w:r w:rsidR="00370764" w:rsidRPr="007E2A6A">
        <w:rPr>
          <w:rFonts w:asciiTheme="minorHAnsi" w:hAnsiTheme="minorHAnsi" w:cstheme="minorHAnsi"/>
          <w:b/>
          <w:bCs/>
          <w:sz w:val="22"/>
        </w:rPr>
        <w:t>b</w:t>
      </w:r>
      <w:r w:rsidRPr="007E2A6A">
        <w:rPr>
          <w:rFonts w:asciiTheme="minorHAnsi" w:hAnsiTheme="minorHAnsi" w:cstheme="minorHAnsi"/>
          <w:b/>
          <w:bCs/>
          <w:sz w:val="22"/>
        </w:rPr>
        <w:t>)]</w:t>
      </w:r>
    </w:p>
    <w:p w14:paraId="501DE8E2" w14:textId="77777777" w:rsidR="00464C64" w:rsidRPr="007E2A6A" w:rsidRDefault="00464C64" w:rsidP="00464C64">
      <w:pPr>
        <w:pStyle w:val="BodyText"/>
        <w:spacing w:after="0"/>
        <w:outlineLvl w:val="0"/>
        <w:rPr>
          <w:rFonts w:asciiTheme="minorHAnsi" w:hAnsiTheme="minorHAnsi" w:cstheme="minorHAnsi"/>
          <w:sz w:val="22"/>
        </w:rPr>
      </w:pPr>
    </w:p>
    <w:p w14:paraId="267C1200" w14:textId="64FF6A78" w:rsidR="00464C64" w:rsidRPr="007E2A6A" w:rsidRDefault="00464C64" w:rsidP="00464C64">
      <w:pPr>
        <w:pStyle w:val="BodyText"/>
        <w:spacing w:after="0"/>
        <w:ind w:left="540" w:hanging="540"/>
        <w:outlineLvl w:val="0"/>
        <w:rPr>
          <w:rFonts w:asciiTheme="minorHAnsi" w:hAnsiTheme="minorHAnsi" w:cstheme="minorHAnsi"/>
          <w:b/>
          <w:sz w:val="22"/>
          <w:szCs w:val="22"/>
        </w:rPr>
      </w:pPr>
      <w:r w:rsidRPr="007E2A6A">
        <w:rPr>
          <w:rFonts w:asciiTheme="minorHAnsi" w:hAnsiTheme="minorHAnsi" w:cstheme="minorHAnsi"/>
          <w:b/>
          <w:sz w:val="22"/>
        </w:rPr>
        <w:t>RE:</w:t>
      </w:r>
      <w:r w:rsidRPr="007E2A6A">
        <w:rPr>
          <w:rFonts w:asciiTheme="minorHAnsi" w:hAnsiTheme="minorHAnsi" w:cstheme="minorHAnsi"/>
          <w:b/>
          <w:sz w:val="22"/>
        </w:rPr>
        <w:tab/>
      </w:r>
      <w:r w:rsidR="00370764" w:rsidRPr="007E2A6A">
        <w:rPr>
          <w:rFonts w:asciiTheme="minorHAnsi" w:hAnsiTheme="minorHAnsi" w:cstheme="minorHAnsi"/>
          <w:b/>
          <w:sz w:val="22"/>
          <w:szCs w:val="22"/>
        </w:rPr>
        <w:t>Project NH-P 0042(59)373, PCN 03TE, Minnehaha County</w:t>
      </w:r>
    </w:p>
    <w:p w14:paraId="58B5F5A5" w14:textId="77777777" w:rsidR="00370764" w:rsidRPr="007E2A6A" w:rsidRDefault="00370764" w:rsidP="00370764">
      <w:pPr>
        <w:pStyle w:val="BodyText"/>
        <w:spacing w:after="0"/>
        <w:ind w:left="720" w:hanging="180"/>
        <w:outlineLvl w:val="0"/>
        <w:rPr>
          <w:rFonts w:asciiTheme="minorHAnsi" w:hAnsiTheme="minorHAnsi" w:cstheme="minorHAnsi"/>
          <w:sz w:val="22"/>
          <w:szCs w:val="22"/>
        </w:rPr>
      </w:pPr>
      <w:r w:rsidRPr="007E2A6A">
        <w:rPr>
          <w:rFonts w:asciiTheme="minorHAnsi" w:hAnsiTheme="minorHAnsi" w:cstheme="minorHAnsi"/>
          <w:sz w:val="22"/>
          <w:szCs w:val="22"/>
        </w:rPr>
        <w:t>SD42 - Fm the Big Sioux River Bridge to the IA State Line</w:t>
      </w:r>
    </w:p>
    <w:p w14:paraId="579D95E7" w14:textId="2E5D10E4" w:rsidR="00370764" w:rsidRPr="007E2A6A" w:rsidRDefault="00370764" w:rsidP="00370764">
      <w:pPr>
        <w:pStyle w:val="BodyText"/>
        <w:spacing w:after="0"/>
        <w:ind w:left="720" w:hanging="180"/>
        <w:outlineLvl w:val="0"/>
        <w:rPr>
          <w:rFonts w:asciiTheme="minorHAnsi" w:hAnsiTheme="minorHAnsi" w:cstheme="minorHAnsi"/>
          <w:sz w:val="22"/>
          <w:szCs w:val="22"/>
        </w:rPr>
      </w:pPr>
      <w:r w:rsidRPr="007E2A6A">
        <w:rPr>
          <w:rFonts w:asciiTheme="minorHAnsi" w:hAnsiTheme="minorHAnsi" w:cstheme="minorHAnsi"/>
          <w:sz w:val="22"/>
          <w:szCs w:val="22"/>
        </w:rPr>
        <w:t>Grading, PCC Surfacing, Curb &amp; Gutter, Sidewalk, ADA, Storm Sewer, Lighting, Signals</w:t>
      </w:r>
    </w:p>
    <w:p w14:paraId="5108042D" w14:textId="54708ED1" w:rsidR="00464C64" w:rsidRPr="007E2A6A" w:rsidRDefault="00370764" w:rsidP="00370764">
      <w:pPr>
        <w:pStyle w:val="BodyText"/>
        <w:spacing w:after="0"/>
        <w:ind w:left="720" w:hanging="180"/>
        <w:outlineLvl w:val="0"/>
        <w:rPr>
          <w:rFonts w:asciiTheme="minorHAnsi" w:hAnsiTheme="minorHAnsi" w:cstheme="minorHAnsi"/>
          <w:sz w:val="22"/>
          <w:szCs w:val="22"/>
        </w:rPr>
      </w:pPr>
      <w:r w:rsidRPr="007E2A6A">
        <w:rPr>
          <w:rFonts w:asciiTheme="minorHAnsi" w:hAnsiTheme="minorHAnsi" w:cstheme="minorHAnsi"/>
          <w:sz w:val="22"/>
          <w:szCs w:val="22"/>
        </w:rPr>
        <w:t>SHPO Project:200204001F</w:t>
      </w:r>
    </w:p>
    <w:p w14:paraId="7D23CF79" w14:textId="77777777" w:rsidR="00370764" w:rsidRPr="007E2A6A" w:rsidRDefault="00370764" w:rsidP="00370764">
      <w:pPr>
        <w:pStyle w:val="BodyText"/>
        <w:spacing w:after="0"/>
        <w:ind w:left="720" w:hanging="180"/>
        <w:outlineLvl w:val="0"/>
        <w:rPr>
          <w:rFonts w:asciiTheme="minorHAnsi" w:hAnsiTheme="minorHAnsi" w:cstheme="minorHAnsi"/>
          <w:sz w:val="22"/>
        </w:rPr>
      </w:pPr>
    </w:p>
    <w:p w14:paraId="3B9504E2" w14:textId="3012990F" w:rsidR="00464C64" w:rsidRPr="007E2A6A" w:rsidRDefault="00464C64" w:rsidP="00464C64">
      <w:pPr>
        <w:tabs>
          <w:tab w:val="left" w:pos="720"/>
          <w:tab w:val="center" w:pos="4680"/>
        </w:tabs>
        <w:suppressAutoHyphens/>
        <w:rPr>
          <w:rFonts w:asciiTheme="minorHAnsi" w:hAnsiTheme="minorHAnsi" w:cstheme="minorHAnsi"/>
          <w:sz w:val="22"/>
        </w:rPr>
      </w:pPr>
      <w:r w:rsidRPr="007E2A6A">
        <w:rPr>
          <w:rFonts w:asciiTheme="minorHAnsi" w:hAnsiTheme="minorHAnsi" w:cstheme="minorHAnsi"/>
          <w:sz w:val="22"/>
        </w:rPr>
        <w:t xml:space="preserve">Dear </w:t>
      </w:r>
      <w:r w:rsidR="00370764" w:rsidRPr="007E2A6A">
        <w:rPr>
          <w:rFonts w:asciiTheme="minorHAnsi" w:hAnsiTheme="minorHAnsi" w:cstheme="minorHAnsi"/>
          <w:sz w:val="22"/>
        </w:rPr>
        <w:t>Mr. Lamfers</w:t>
      </w:r>
      <w:r w:rsidRPr="007E2A6A">
        <w:rPr>
          <w:rFonts w:asciiTheme="minorHAnsi" w:hAnsiTheme="minorHAnsi" w:cstheme="minorHAnsi"/>
          <w:sz w:val="22"/>
        </w:rPr>
        <w:t>:</w:t>
      </w:r>
    </w:p>
    <w:p w14:paraId="5EE91BAE" w14:textId="77777777" w:rsidR="00464C64" w:rsidRPr="007E2A6A" w:rsidRDefault="00464C64" w:rsidP="00464C64">
      <w:pPr>
        <w:tabs>
          <w:tab w:val="left" w:pos="720"/>
          <w:tab w:val="center" w:pos="4680"/>
        </w:tabs>
        <w:suppressAutoHyphens/>
        <w:rPr>
          <w:rFonts w:asciiTheme="minorHAnsi" w:hAnsiTheme="minorHAnsi" w:cstheme="minorHAnsi"/>
          <w:sz w:val="22"/>
        </w:rPr>
      </w:pPr>
    </w:p>
    <w:p w14:paraId="2FD7CA4A" w14:textId="4B8F5B07" w:rsidR="00464C64" w:rsidRPr="007E2A6A" w:rsidRDefault="00464C64" w:rsidP="00464C64">
      <w:pPr>
        <w:tabs>
          <w:tab w:val="center" w:pos="4680"/>
        </w:tabs>
        <w:suppressAutoHyphens/>
        <w:jc w:val="both"/>
        <w:rPr>
          <w:rFonts w:asciiTheme="minorHAnsi" w:hAnsiTheme="minorHAnsi" w:cstheme="minorHAnsi"/>
          <w:sz w:val="22"/>
          <w:szCs w:val="22"/>
          <w:highlight w:val="yellow"/>
        </w:rPr>
      </w:pPr>
      <w:r w:rsidRPr="007E2A6A">
        <w:rPr>
          <w:rFonts w:asciiTheme="minorHAnsi" w:hAnsiTheme="minorHAnsi" w:cstheme="minorHAnsi"/>
          <w:sz w:val="22"/>
        </w:rPr>
        <w:t xml:space="preserve">Attached is the Approved Scope and map detailing the location of the above referenced project.  This project will </w:t>
      </w:r>
      <w:r w:rsidR="00C6238A" w:rsidRPr="007E2A6A">
        <w:rPr>
          <w:rFonts w:asciiTheme="minorHAnsi" w:hAnsiTheme="minorHAnsi" w:cstheme="minorHAnsi"/>
          <w:sz w:val="22"/>
          <w:szCs w:val="22"/>
        </w:rPr>
        <w:t>include</w:t>
      </w:r>
      <w:r w:rsidR="00C6238A" w:rsidRPr="007E2A6A">
        <w:rPr>
          <w:rFonts w:asciiTheme="minorHAnsi" w:hAnsiTheme="minorHAnsi" w:cstheme="minorHAnsi"/>
        </w:rPr>
        <w:t xml:space="preserve"> </w:t>
      </w:r>
      <w:r w:rsidR="00C6238A" w:rsidRPr="007E2A6A">
        <w:rPr>
          <w:rFonts w:asciiTheme="minorHAnsi" w:hAnsiTheme="minorHAnsi" w:cstheme="minorHAnsi"/>
          <w:sz w:val="22"/>
          <w:szCs w:val="22"/>
        </w:rPr>
        <w:t>grading, surfacing, curb &amp; gutter, sidewalk, ADA, storm sewer, lighting, and signals along SD42, from the Big Sioux River Bridge to the Iowa State Line. T</w:t>
      </w:r>
      <w:r w:rsidRPr="007E2A6A">
        <w:rPr>
          <w:rFonts w:asciiTheme="minorHAnsi" w:hAnsiTheme="minorHAnsi" w:cstheme="minorHAnsi"/>
          <w:sz w:val="22"/>
        </w:rPr>
        <w:t>h</w:t>
      </w:r>
      <w:r w:rsidR="00C6238A" w:rsidRPr="007E2A6A">
        <w:rPr>
          <w:rFonts w:asciiTheme="minorHAnsi" w:hAnsiTheme="minorHAnsi" w:cstheme="minorHAnsi"/>
          <w:sz w:val="22"/>
        </w:rPr>
        <w:t xml:space="preserve">e </w:t>
      </w:r>
      <w:r w:rsidR="00CF0CBD" w:rsidRPr="007E2A6A">
        <w:rPr>
          <w:rFonts w:asciiTheme="minorHAnsi" w:hAnsiTheme="minorHAnsi" w:cstheme="minorHAnsi"/>
          <w:sz w:val="22"/>
        </w:rPr>
        <w:t>Illinois Central Railroad (39MH2018)</w:t>
      </w:r>
      <w:r w:rsidR="00C6238A" w:rsidRPr="007E2A6A">
        <w:rPr>
          <w:rFonts w:asciiTheme="minorHAnsi" w:hAnsiTheme="minorHAnsi" w:cstheme="minorHAnsi"/>
          <w:sz w:val="22"/>
        </w:rPr>
        <w:t>, a property which is eligible f</w:t>
      </w:r>
      <w:r w:rsidR="00C6238A" w:rsidRPr="00585940">
        <w:rPr>
          <w:rFonts w:asciiTheme="minorHAnsi" w:hAnsiTheme="minorHAnsi" w:cstheme="minorHAnsi"/>
          <w:sz w:val="22"/>
        </w:rPr>
        <w:t>or inclusion in the National Register of Historic Places, is located within the existing SD42 ROW, parallel to the project corridor.</w:t>
      </w:r>
      <w:r w:rsidRPr="00585940">
        <w:rPr>
          <w:rFonts w:asciiTheme="minorHAnsi" w:hAnsiTheme="minorHAnsi" w:cstheme="minorHAnsi"/>
          <w:sz w:val="22"/>
        </w:rPr>
        <w:t xml:space="preserve"> I have attached a map showing the work area and the Section 4(f) propert</w:t>
      </w:r>
      <w:r w:rsidR="00C6238A" w:rsidRPr="00585940">
        <w:rPr>
          <w:rFonts w:asciiTheme="minorHAnsi" w:hAnsiTheme="minorHAnsi" w:cstheme="minorHAnsi"/>
          <w:sz w:val="22"/>
        </w:rPr>
        <w:t>y</w:t>
      </w:r>
      <w:r w:rsidRPr="00585940">
        <w:rPr>
          <w:rFonts w:asciiTheme="minorHAnsi" w:hAnsiTheme="minorHAnsi" w:cstheme="minorHAnsi"/>
          <w:sz w:val="22"/>
        </w:rPr>
        <w:t>.</w:t>
      </w:r>
      <w:r w:rsidRPr="007E2A6A">
        <w:rPr>
          <w:rFonts w:asciiTheme="minorHAnsi" w:hAnsiTheme="minorHAnsi" w:cstheme="minorHAnsi"/>
          <w:sz w:val="22"/>
        </w:rPr>
        <w:t xml:space="preserve">  </w:t>
      </w:r>
    </w:p>
    <w:p w14:paraId="047837D4" w14:textId="77777777" w:rsidR="00464C64" w:rsidRPr="007E2A6A" w:rsidRDefault="00464C64" w:rsidP="00464C64">
      <w:pPr>
        <w:tabs>
          <w:tab w:val="center" w:pos="4680"/>
        </w:tabs>
        <w:suppressAutoHyphens/>
        <w:jc w:val="both"/>
        <w:rPr>
          <w:rFonts w:asciiTheme="minorHAnsi" w:hAnsiTheme="minorHAnsi" w:cstheme="minorHAnsi"/>
          <w:sz w:val="22"/>
          <w:highlight w:val="yellow"/>
        </w:rPr>
      </w:pPr>
    </w:p>
    <w:p w14:paraId="1302634F" w14:textId="76D862C2" w:rsidR="00464C64" w:rsidRPr="007E2A6A" w:rsidRDefault="00464C64" w:rsidP="00464C64">
      <w:pPr>
        <w:pStyle w:val="BodyText"/>
        <w:spacing w:after="0"/>
        <w:ind w:right="117"/>
        <w:jc w:val="both"/>
        <w:rPr>
          <w:rFonts w:asciiTheme="minorHAnsi" w:hAnsiTheme="minorHAnsi" w:cstheme="minorHAnsi"/>
          <w:sz w:val="22"/>
        </w:rPr>
      </w:pPr>
      <w:r w:rsidRPr="007E2A6A">
        <w:rPr>
          <w:rFonts w:asciiTheme="minorHAnsi" w:hAnsiTheme="minorHAnsi" w:cstheme="minorHAnsi"/>
          <w:sz w:val="22"/>
        </w:rPr>
        <w:t>Due to the use of federal funds, the proposed transportation project is subject to the requirements of Section 4(f) of the Department of Transportation (DOT) Act of 1966, which affords protection to publicly-owned parks, recreation areas, wildlife and waterfowl refuges</w:t>
      </w:r>
      <w:r w:rsidR="007E2A6A" w:rsidRPr="007E2A6A">
        <w:rPr>
          <w:rFonts w:asciiTheme="minorHAnsi" w:hAnsiTheme="minorHAnsi" w:cstheme="minorHAnsi"/>
          <w:sz w:val="22"/>
        </w:rPr>
        <w:t>, and historic sites</w:t>
      </w:r>
      <w:r w:rsidRPr="007E2A6A">
        <w:rPr>
          <w:rFonts w:asciiTheme="minorHAnsi" w:hAnsiTheme="minorHAnsi" w:cstheme="minorHAnsi"/>
          <w:sz w:val="22"/>
        </w:rPr>
        <w:t>. The purpose of this correspondence is to document that the Official with Jurisdiction (OWJ)</w:t>
      </w:r>
      <w:r w:rsidR="00C6238A" w:rsidRPr="007E2A6A">
        <w:rPr>
          <w:rFonts w:asciiTheme="minorHAnsi" w:hAnsiTheme="minorHAnsi" w:cstheme="minorHAnsi"/>
          <w:sz w:val="22"/>
        </w:rPr>
        <w:t xml:space="preserve">, </w:t>
      </w:r>
      <w:r w:rsidR="007E2A6A" w:rsidRPr="007E2A6A">
        <w:rPr>
          <w:rFonts w:asciiTheme="minorHAnsi" w:hAnsiTheme="minorHAnsi" w:cstheme="minorHAnsi"/>
          <w:sz w:val="22"/>
        </w:rPr>
        <w:t>your office/the</w:t>
      </w:r>
      <w:r w:rsidR="00C6238A" w:rsidRPr="007E2A6A">
        <w:rPr>
          <w:rFonts w:asciiTheme="minorHAnsi" w:hAnsiTheme="minorHAnsi" w:cstheme="minorHAnsi"/>
          <w:sz w:val="22"/>
        </w:rPr>
        <w:t xml:space="preserve"> SHPO,</w:t>
      </w:r>
      <w:r w:rsidRPr="007E2A6A">
        <w:rPr>
          <w:rFonts w:asciiTheme="minorHAnsi" w:hAnsiTheme="minorHAnsi" w:cstheme="minorHAnsi"/>
          <w:sz w:val="22"/>
        </w:rPr>
        <w:t xml:space="preserve"> </w:t>
      </w:r>
      <w:r w:rsidR="00064E27" w:rsidRPr="007E2A6A">
        <w:rPr>
          <w:rFonts w:asciiTheme="minorHAnsi" w:hAnsiTheme="minorHAnsi" w:cstheme="minorHAnsi"/>
          <w:sz w:val="22"/>
        </w:rPr>
        <w:t>does not object to</w:t>
      </w:r>
      <w:r w:rsidRPr="007E2A6A">
        <w:rPr>
          <w:rFonts w:asciiTheme="minorHAnsi" w:hAnsiTheme="minorHAnsi" w:cstheme="minorHAnsi"/>
          <w:sz w:val="22"/>
        </w:rPr>
        <w:t xml:space="preserve"> the </w:t>
      </w:r>
      <w:r w:rsidR="00CF0CBD" w:rsidRPr="007E2A6A">
        <w:rPr>
          <w:rFonts w:asciiTheme="minorHAnsi" w:hAnsiTheme="minorHAnsi" w:cstheme="minorHAnsi"/>
          <w:sz w:val="22"/>
        </w:rPr>
        <w:t>application of a 4(f) exception</w:t>
      </w:r>
      <w:r w:rsidR="00C6238A" w:rsidRPr="007E2A6A">
        <w:rPr>
          <w:rFonts w:asciiTheme="minorHAnsi" w:hAnsiTheme="minorHAnsi" w:cstheme="minorHAnsi"/>
          <w:sz w:val="22"/>
        </w:rPr>
        <w:t xml:space="preserve"> in association with the Illinois Central Railroad (39MH2018)</w:t>
      </w:r>
      <w:r w:rsidRPr="007E2A6A">
        <w:rPr>
          <w:rFonts w:asciiTheme="minorHAnsi" w:hAnsiTheme="minorHAnsi" w:cstheme="minorHAnsi"/>
          <w:sz w:val="22"/>
        </w:rPr>
        <w:t>.</w:t>
      </w:r>
    </w:p>
    <w:p w14:paraId="5DA89661" w14:textId="77777777" w:rsidR="00464C64" w:rsidRPr="007E2A6A" w:rsidRDefault="00464C64" w:rsidP="00464C64">
      <w:pPr>
        <w:pStyle w:val="BodyText"/>
        <w:spacing w:after="0"/>
        <w:ind w:right="117"/>
        <w:jc w:val="both"/>
        <w:rPr>
          <w:rFonts w:asciiTheme="minorHAnsi" w:hAnsiTheme="minorHAnsi" w:cstheme="minorHAnsi"/>
          <w:sz w:val="22"/>
          <w:highlight w:val="yellow"/>
        </w:rPr>
      </w:pPr>
    </w:p>
    <w:p w14:paraId="51C0228A" w14:textId="418C49A9" w:rsidR="00464C64" w:rsidRPr="007E2A6A" w:rsidRDefault="00464C64" w:rsidP="00464C64">
      <w:pPr>
        <w:pStyle w:val="BodyText"/>
        <w:spacing w:after="0"/>
        <w:ind w:right="117"/>
        <w:jc w:val="both"/>
        <w:rPr>
          <w:rFonts w:asciiTheme="minorHAnsi" w:hAnsiTheme="minorHAnsi" w:cstheme="minorHAnsi"/>
          <w:sz w:val="22"/>
        </w:rPr>
      </w:pPr>
      <w:r w:rsidRPr="007E2A6A">
        <w:rPr>
          <w:rFonts w:asciiTheme="minorHAnsi" w:hAnsiTheme="minorHAnsi" w:cstheme="minorHAnsi"/>
          <w:sz w:val="22"/>
        </w:rPr>
        <w:t>In accordance with 23 CFR 774.13(</w:t>
      </w:r>
      <w:r w:rsidR="00370764" w:rsidRPr="007E2A6A">
        <w:rPr>
          <w:rFonts w:asciiTheme="minorHAnsi" w:hAnsiTheme="minorHAnsi" w:cstheme="minorHAnsi"/>
          <w:sz w:val="22"/>
        </w:rPr>
        <w:t>b</w:t>
      </w:r>
      <w:r w:rsidRPr="007E2A6A">
        <w:rPr>
          <w:rFonts w:asciiTheme="minorHAnsi" w:hAnsiTheme="minorHAnsi" w:cstheme="minorHAnsi"/>
          <w:sz w:val="22"/>
        </w:rPr>
        <w:t xml:space="preserve">), </w:t>
      </w:r>
      <w:bookmarkStart w:id="0" w:name="_Hlk24978358"/>
      <w:r w:rsidR="00370764" w:rsidRPr="007E2A6A">
        <w:rPr>
          <w:rFonts w:asciiTheme="minorHAnsi" w:hAnsiTheme="minorHAnsi" w:cstheme="minorHAnsi"/>
          <w:sz w:val="22"/>
        </w:rPr>
        <w:t xml:space="preserve">archeological sites that are on or eligible for the National Register </w:t>
      </w:r>
      <w:r w:rsidR="00266DAA" w:rsidRPr="007E2A6A">
        <w:rPr>
          <w:rFonts w:asciiTheme="minorHAnsi" w:hAnsiTheme="minorHAnsi" w:cstheme="minorHAnsi"/>
          <w:sz w:val="22"/>
        </w:rPr>
        <w:t>qualify as an exception to Section 4(f)</w:t>
      </w:r>
      <w:r w:rsidRPr="007E2A6A">
        <w:rPr>
          <w:rFonts w:asciiTheme="minorHAnsi" w:hAnsiTheme="minorHAnsi" w:cstheme="minorHAnsi"/>
          <w:sz w:val="22"/>
        </w:rPr>
        <w:t xml:space="preserve">, </w:t>
      </w:r>
      <w:r w:rsidR="00370764" w:rsidRPr="007E2A6A">
        <w:rPr>
          <w:rFonts w:asciiTheme="minorHAnsi" w:hAnsiTheme="minorHAnsi" w:cstheme="minorHAnsi"/>
          <w:sz w:val="22"/>
        </w:rPr>
        <w:t>when</w:t>
      </w:r>
      <w:r w:rsidRPr="007E2A6A">
        <w:rPr>
          <w:rFonts w:asciiTheme="minorHAnsi" w:hAnsiTheme="minorHAnsi" w:cstheme="minorHAnsi"/>
          <w:sz w:val="22"/>
        </w:rPr>
        <w:t>:</w:t>
      </w:r>
      <w:bookmarkEnd w:id="0"/>
    </w:p>
    <w:p w14:paraId="1D62554C" w14:textId="606F0B6A" w:rsidR="00266DAA" w:rsidRPr="007E2A6A" w:rsidRDefault="00266DAA" w:rsidP="00464C64">
      <w:pPr>
        <w:pStyle w:val="BodyText"/>
        <w:spacing w:after="0"/>
        <w:ind w:right="117"/>
        <w:jc w:val="both"/>
        <w:rPr>
          <w:rFonts w:asciiTheme="minorHAnsi" w:hAnsiTheme="minorHAnsi" w:cstheme="minorHAnsi"/>
          <w:sz w:val="22"/>
        </w:rPr>
      </w:pPr>
    </w:p>
    <w:p w14:paraId="1683EC65" w14:textId="50E78428" w:rsidR="00266DAA" w:rsidRPr="007E2A6A" w:rsidRDefault="00266DAA" w:rsidP="00266DAA">
      <w:pPr>
        <w:pStyle w:val="BodyText"/>
        <w:numPr>
          <w:ilvl w:val="0"/>
          <w:numId w:val="8"/>
        </w:numPr>
        <w:ind w:right="117"/>
        <w:jc w:val="both"/>
        <w:rPr>
          <w:rFonts w:asciiTheme="minorHAnsi" w:hAnsiTheme="minorHAnsi" w:cstheme="minorHAnsi"/>
          <w:sz w:val="22"/>
        </w:rPr>
      </w:pPr>
      <w:r w:rsidRPr="007E2A6A">
        <w:rPr>
          <w:rFonts w:asciiTheme="minorHAnsi" w:hAnsiTheme="minorHAnsi" w:cstheme="minorHAnsi"/>
          <w:sz w:val="22"/>
        </w:rPr>
        <w:t>The Administration concludes that the archeological resource is important chiefly because of what can be learned by data recovery and has minimal value for preservation in place. This exception applies both to situations where data recovery is undertaken and where the Administration decides, with agreement of the official(s) with jurisdiction, not to recover the resource; and</w:t>
      </w:r>
    </w:p>
    <w:p w14:paraId="1F15D44D" w14:textId="0499D843" w:rsidR="00266DAA" w:rsidRPr="007E2A6A" w:rsidRDefault="00266DAA" w:rsidP="00266DAA">
      <w:pPr>
        <w:pStyle w:val="BodyText"/>
        <w:numPr>
          <w:ilvl w:val="0"/>
          <w:numId w:val="8"/>
        </w:numPr>
        <w:spacing w:after="0"/>
        <w:ind w:right="117"/>
        <w:jc w:val="both"/>
        <w:rPr>
          <w:rFonts w:asciiTheme="minorHAnsi" w:hAnsiTheme="minorHAnsi" w:cstheme="minorHAnsi"/>
          <w:sz w:val="22"/>
        </w:rPr>
      </w:pPr>
      <w:r w:rsidRPr="007E2A6A">
        <w:rPr>
          <w:rFonts w:asciiTheme="minorHAnsi" w:hAnsiTheme="minorHAnsi" w:cstheme="minorHAnsi"/>
          <w:sz w:val="22"/>
        </w:rPr>
        <w:t>The official(s) with jurisdiction over the Section 4(f) resource have been consulted and have not objected to the Administration’s finding.</w:t>
      </w:r>
    </w:p>
    <w:p w14:paraId="52F9D9E1" w14:textId="77777777" w:rsidR="00464C64" w:rsidRPr="007E2A6A" w:rsidRDefault="00464C64" w:rsidP="00464C64">
      <w:pPr>
        <w:pStyle w:val="BodyText"/>
        <w:spacing w:after="0"/>
        <w:ind w:right="117"/>
        <w:jc w:val="both"/>
        <w:rPr>
          <w:rFonts w:asciiTheme="minorHAnsi" w:hAnsiTheme="minorHAnsi" w:cstheme="minorHAnsi"/>
          <w:sz w:val="22"/>
          <w:highlight w:val="yellow"/>
        </w:rPr>
      </w:pPr>
    </w:p>
    <w:p w14:paraId="06347067" w14:textId="6507AD7F" w:rsidR="000543EA" w:rsidRDefault="00120631" w:rsidP="000543EA">
      <w:pPr>
        <w:tabs>
          <w:tab w:val="left" w:pos="660"/>
        </w:tabs>
        <w:ind w:right="117"/>
        <w:jc w:val="both"/>
        <w:rPr>
          <w:rFonts w:asciiTheme="minorHAnsi" w:hAnsiTheme="minorHAnsi" w:cstheme="minorHAnsi"/>
          <w:sz w:val="22"/>
        </w:rPr>
      </w:pPr>
      <w:r w:rsidRPr="007E2A6A">
        <w:rPr>
          <w:rFonts w:asciiTheme="minorHAnsi" w:hAnsiTheme="minorHAnsi" w:cstheme="minorHAnsi"/>
          <w:sz w:val="22"/>
        </w:rPr>
        <w:t>During Section 106 coordination efforts</w:t>
      </w:r>
      <w:r w:rsidR="00C6238A" w:rsidRPr="007E2A6A">
        <w:rPr>
          <w:rFonts w:asciiTheme="minorHAnsi" w:hAnsiTheme="minorHAnsi" w:cstheme="minorHAnsi"/>
          <w:sz w:val="22"/>
        </w:rPr>
        <w:t xml:space="preserve">, </w:t>
      </w:r>
      <w:r w:rsidRPr="007E2A6A">
        <w:rPr>
          <w:rFonts w:asciiTheme="minorHAnsi" w:hAnsiTheme="minorHAnsi" w:cstheme="minorHAnsi"/>
          <w:sz w:val="22"/>
        </w:rPr>
        <w:t>SDDOT, on behalf of FHWA, determined that Project NH-P 0042(59)373, PCN 03TE will have an Adverse Effect on historic properties, based upon impacts to the Illinois Central Railroad (39MH2018)</w:t>
      </w:r>
      <w:r w:rsidR="00C6238A" w:rsidRPr="007E2A6A">
        <w:rPr>
          <w:rFonts w:asciiTheme="minorHAnsi" w:hAnsiTheme="minorHAnsi" w:cstheme="minorHAnsi"/>
          <w:sz w:val="22"/>
        </w:rPr>
        <w:t>.</w:t>
      </w:r>
      <w:r w:rsidRPr="007E2A6A">
        <w:rPr>
          <w:rFonts w:asciiTheme="minorHAnsi" w:hAnsiTheme="minorHAnsi" w:cstheme="minorHAnsi"/>
          <w:sz w:val="22"/>
        </w:rPr>
        <w:t xml:space="preserve"> Your office concurred with this determination on February 11, 2020 (SHPO </w:t>
      </w:r>
      <w:r w:rsidRPr="007E2A6A">
        <w:rPr>
          <w:rFonts w:asciiTheme="minorHAnsi" w:hAnsiTheme="minorHAnsi" w:cstheme="minorHAnsi"/>
          <w:sz w:val="22"/>
        </w:rPr>
        <w:lastRenderedPageBreak/>
        <w:t xml:space="preserve">Project:200204001F). </w:t>
      </w:r>
      <w:r w:rsidR="000543EA" w:rsidRPr="000543EA">
        <w:rPr>
          <w:rFonts w:asciiTheme="minorHAnsi" w:hAnsiTheme="minorHAnsi" w:cstheme="minorHAnsi"/>
          <w:sz w:val="22"/>
        </w:rPr>
        <w:t xml:space="preserve">Based on survey and documentation, the </w:t>
      </w:r>
      <w:r w:rsidR="0053287D">
        <w:rPr>
          <w:rFonts w:asciiTheme="minorHAnsi" w:hAnsiTheme="minorHAnsi" w:cstheme="minorHAnsi"/>
          <w:sz w:val="22"/>
        </w:rPr>
        <w:t xml:space="preserve">15-mile </w:t>
      </w:r>
      <w:r w:rsidR="000543EA" w:rsidRPr="000543EA">
        <w:rPr>
          <w:rFonts w:asciiTheme="minorHAnsi" w:hAnsiTheme="minorHAnsi" w:cstheme="minorHAnsi"/>
          <w:sz w:val="22"/>
        </w:rPr>
        <w:t>resource</w:t>
      </w:r>
      <w:r w:rsidR="000543EA" w:rsidRPr="000543EA">
        <w:rPr>
          <w:rFonts w:asciiTheme="minorHAnsi" w:hAnsiTheme="minorHAnsi" w:cstheme="minorHAnsi"/>
          <w:sz w:val="22"/>
        </w:rPr>
        <w:t xml:space="preserve"> </w:t>
      </w:r>
      <w:r w:rsidR="000543EA">
        <w:rPr>
          <w:rFonts w:asciiTheme="minorHAnsi" w:hAnsiTheme="minorHAnsi" w:cstheme="minorHAnsi"/>
          <w:sz w:val="22"/>
        </w:rPr>
        <w:t xml:space="preserve">consists of a discontinuous </w:t>
      </w:r>
      <w:r w:rsidR="000543EA" w:rsidRPr="000543EA">
        <w:rPr>
          <w:rFonts w:asciiTheme="minorHAnsi" w:hAnsiTheme="minorHAnsi" w:cstheme="minorHAnsi"/>
          <w:sz w:val="22"/>
        </w:rPr>
        <w:t>grade</w:t>
      </w:r>
      <w:r w:rsidR="0053287D">
        <w:rPr>
          <w:rFonts w:asciiTheme="minorHAnsi" w:hAnsiTheme="minorHAnsi" w:cstheme="minorHAnsi"/>
          <w:sz w:val="22"/>
        </w:rPr>
        <w:t xml:space="preserve"> and</w:t>
      </w:r>
      <w:r w:rsidR="000543EA" w:rsidRPr="000543EA">
        <w:rPr>
          <w:rFonts w:asciiTheme="minorHAnsi" w:hAnsiTheme="minorHAnsi" w:cstheme="minorHAnsi"/>
          <w:sz w:val="22"/>
        </w:rPr>
        <w:t xml:space="preserve"> features</w:t>
      </w:r>
      <w:r w:rsidR="000543EA">
        <w:rPr>
          <w:rFonts w:asciiTheme="minorHAnsi" w:hAnsiTheme="minorHAnsi" w:cstheme="minorHAnsi"/>
          <w:sz w:val="22"/>
        </w:rPr>
        <w:t xml:space="preserve"> </w:t>
      </w:r>
      <w:r w:rsidR="000543EA" w:rsidRPr="000543EA">
        <w:rPr>
          <w:rFonts w:asciiTheme="minorHAnsi" w:hAnsiTheme="minorHAnsi" w:cstheme="minorHAnsi"/>
          <w:sz w:val="22"/>
        </w:rPr>
        <w:t>including</w:t>
      </w:r>
      <w:r w:rsidR="000543EA">
        <w:rPr>
          <w:rFonts w:asciiTheme="minorHAnsi" w:hAnsiTheme="minorHAnsi" w:cstheme="minorHAnsi"/>
          <w:sz w:val="22"/>
        </w:rPr>
        <w:t xml:space="preserve">: five </w:t>
      </w:r>
      <w:r w:rsidR="000543EA" w:rsidRPr="000543EA">
        <w:rPr>
          <w:rFonts w:asciiTheme="minorHAnsi" w:hAnsiTheme="minorHAnsi" w:cstheme="minorHAnsi"/>
          <w:sz w:val="22"/>
        </w:rPr>
        <w:t>recorded bridge</w:t>
      </w:r>
      <w:r w:rsidR="000543EA">
        <w:rPr>
          <w:rFonts w:asciiTheme="minorHAnsi" w:hAnsiTheme="minorHAnsi" w:cstheme="minorHAnsi"/>
          <w:sz w:val="22"/>
        </w:rPr>
        <w:t>s (</w:t>
      </w:r>
      <w:r w:rsidR="000543EA" w:rsidRPr="000543EA">
        <w:rPr>
          <w:rFonts w:asciiTheme="minorHAnsi" w:hAnsiTheme="minorHAnsi" w:cstheme="minorHAnsi"/>
          <w:sz w:val="22"/>
        </w:rPr>
        <w:t>MH00000950, MH00002434, MH00002467, MH000002468,</w:t>
      </w:r>
      <w:r w:rsidR="000543EA">
        <w:rPr>
          <w:rFonts w:asciiTheme="minorHAnsi" w:hAnsiTheme="minorHAnsi" w:cstheme="minorHAnsi"/>
          <w:sz w:val="22"/>
        </w:rPr>
        <w:t xml:space="preserve"> </w:t>
      </w:r>
      <w:r w:rsidR="000543EA" w:rsidRPr="000543EA">
        <w:rPr>
          <w:rFonts w:asciiTheme="minorHAnsi" w:hAnsiTheme="minorHAnsi" w:cstheme="minorHAnsi"/>
          <w:sz w:val="22"/>
        </w:rPr>
        <w:t>MH000002469</w:t>
      </w:r>
      <w:r w:rsidR="000543EA">
        <w:rPr>
          <w:rFonts w:asciiTheme="minorHAnsi" w:hAnsiTheme="minorHAnsi" w:cstheme="minorHAnsi"/>
          <w:sz w:val="22"/>
        </w:rPr>
        <w:t xml:space="preserve">); </w:t>
      </w:r>
      <w:r w:rsidR="000543EA" w:rsidRPr="000543EA">
        <w:rPr>
          <w:rFonts w:asciiTheme="minorHAnsi" w:hAnsiTheme="minorHAnsi" w:cstheme="minorHAnsi"/>
          <w:sz w:val="22"/>
        </w:rPr>
        <w:t>two extant standing structures</w:t>
      </w:r>
      <w:r w:rsidR="000543EA">
        <w:rPr>
          <w:rFonts w:asciiTheme="minorHAnsi" w:hAnsiTheme="minorHAnsi" w:cstheme="minorHAnsi"/>
          <w:sz w:val="22"/>
        </w:rPr>
        <w:t xml:space="preserve"> (</w:t>
      </w:r>
      <w:r w:rsidR="000543EA" w:rsidRPr="000543EA">
        <w:rPr>
          <w:rFonts w:asciiTheme="minorHAnsi" w:hAnsiTheme="minorHAnsi" w:cstheme="minorHAnsi"/>
          <w:sz w:val="22"/>
        </w:rPr>
        <w:t>MH00000090, the railway’s</w:t>
      </w:r>
      <w:r w:rsidR="000543EA">
        <w:rPr>
          <w:rFonts w:asciiTheme="minorHAnsi" w:hAnsiTheme="minorHAnsi" w:cstheme="minorHAnsi"/>
          <w:sz w:val="22"/>
        </w:rPr>
        <w:t xml:space="preserve"> </w:t>
      </w:r>
      <w:r w:rsidR="000543EA" w:rsidRPr="000543EA">
        <w:rPr>
          <w:rFonts w:asciiTheme="minorHAnsi" w:hAnsiTheme="minorHAnsi" w:cstheme="minorHAnsi"/>
          <w:sz w:val="22"/>
        </w:rPr>
        <w:t>roundhouse, and MH00001388, the Illinois Central Passenger Depot)</w:t>
      </w:r>
      <w:r w:rsidR="000543EA">
        <w:rPr>
          <w:rFonts w:asciiTheme="minorHAnsi" w:hAnsiTheme="minorHAnsi" w:cstheme="minorHAnsi"/>
          <w:sz w:val="22"/>
        </w:rPr>
        <w:t>; eight culverts, three</w:t>
      </w:r>
      <w:r w:rsidR="0053287D">
        <w:rPr>
          <w:rFonts w:asciiTheme="minorHAnsi" w:hAnsiTheme="minorHAnsi" w:cstheme="minorHAnsi"/>
          <w:sz w:val="22"/>
        </w:rPr>
        <w:t xml:space="preserve"> wooden bridge posts, </w:t>
      </w:r>
      <w:r w:rsidR="000543EA" w:rsidRPr="000543EA">
        <w:rPr>
          <w:rFonts w:asciiTheme="minorHAnsi" w:hAnsiTheme="minorHAnsi" w:cstheme="minorHAnsi"/>
          <w:sz w:val="22"/>
        </w:rPr>
        <w:t>and one piece of displaced</w:t>
      </w:r>
      <w:r w:rsidR="000543EA">
        <w:rPr>
          <w:rFonts w:asciiTheme="minorHAnsi" w:hAnsiTheme="minorHAnsi" w:cstheme="minorHAnsi"/>
          <w:sz w:val="22"/>
        </w:rPr>
        <w:t xml:space="preserve"> </w:t>
      </w:r>
      <w:r w:rsidR="000543EA" w:rsidRPr="000543EA">
        <w:rPr>
          <w:rFonts w:asciiTheme="minorHAnsi" w:hAnsiTheme="minorHAnsi" w:cstheme="minorHAnsi"/>
          <w:sz w:val="22"/>
        </w:rPr>
        <w:t>rail</w:t>
      </w:r>
      <w:r w:rsidR="0053287D">
        <w:rPr>
          <w:rFonts w:asciiTheme="minorHAnsi" w:hAnsiTheme="minorHAnsi" w:cstheme="minorHAnsi"/>
          <w:sz w:val="22"/>
        </w:rPr>
        <w:t>). N</w:t>
      </w:r>
      <w:r w:rsidR="000543EA" w:rsidRPr="000543EA">
        <w:rPr>
          <w:rFonts w:asciiTheme="minorHAnsi" w:hAnsiTheme="minorHAnsi" w:cstheme="minorHAnsi"/>
          <w:sz w:val="22"/>
        </w:rPr>
        <w:t>o ties, ballast,</w:t>
      </w:r>
      <w:r w:rsidR="0053287D">
        <w:rPr>
          <w:rFonts w:asciiTheme="minorHAnsi" w:hAnsiTheme="minorHAnsi" w:cstheme="minorHAnsi"/>
          <w:sz w:val="22"/>
        </w:rPr>
        <w:t xml:space="preserve"> </w:t>
      </w:r>
      <w:r w:rsidR="000543EA" w:rsidRPr="000543EA">
        <w:rPr>
          <w:rFonts w:asciiTheme="minorHAnsi" w:hAnsiTheme="minorHAnsi" w:cstheme="minorHAnsi"/>
          <w:sz w:val="22"/>
        </w:rPr>
        <w:t xml:space="preserve">hardware, or signage associated with the Illinois Central railroad were </w:t>
      </w:r>
      <w:r w:rsidR="0053287D">
        <w:rPr>
          <w:rFonts w:asciiTheme="minorHAnsi" w:hAnsiTheme="minorHAnsi" w:cstheme="minorHAnsi"/>
          <w:sz w:val="22"/>
        </w:rPr>
        <w:t>recorded</w:t>
      </w:r>
      <w:r w:rsidR="000543EA" w:rsidRPr="000543EA">
        <w:rPr>
          <w:rFonts w:asciiTheme="minorHAnsi" w:hAnsiTheme="minorHAnsi" w:cstheme="minorHAnsi"/>
          <w:sz w:val="22"/>
        </w:rPr>
        <w:t>.</w:t>
      </w:r>
      <w:r w:rsidR="0053287D">
        <w:rPr>
          <w:rFonts w:asciiTheme="minorHAnsi" w:hAnsiTheme="minorHAnsi" w:cstheme="minorHAnsi"/>
          <w:sz w:val="22"/>
        </w:rPr>
        <w:t xml:space="preserve"> Efforts to reduce the impact to this resource have resulted in the avoidance of all structures and contributing features associated with the railroad, except for 3-miles of discontinuous grade. </w:t>
      </w:r>
    </w:p>
    <w:p w14:paraId="45E53D29" w14:textId="77777777" w:rsidR="000543EA" w:rsidRDefault="000543EA" w:rsidP="00266DAA">
      <w:pPr>
        <w:tabs>
          <w:tab w:val="left" w:pos="660"/>
        </w:tabs>
        <w:ind w:right="117"/>
        <w:jc w:val="both"/>
        <w:rPr>
          <w:rFonts w:asciiTheme="minorHAnsi" w:hAnsiTheme="minorHAnsi" w:cstheme="minorHAnsi"/>
          <w:sz w:val="22"/>
        </w:rPr>
      </w:pPr>
    </w:p>
    <w:p w14:paraId="5D6E34DB" w14:textId="6B244BE0" w:rsidR="00120631" w:rsidRPr="007E2A6A" w:rsidRDefault="00120631" w:rsidP="00266DAA">
      <w:pPr>
        <w:tabs>
          <w:tab w:val="left" w:pos="660"/>
        </w:tabs>
        <w:ind w:right="117"/>
        <w:jc w:val="both"/>
        <w:rPr>
          <w:rFonts w:asciiTheme="minorHAnsi" w:hAnsiTheme="minorHAnsi" w:cstheme="minorHAnsi"/>
          <w:sz w:val="22"/>
          <w:highlight w:val="yellow"/>
        </w:rPr>
      </w:pPr>
      <w:r w:rsidRPr="007E2A6A">
        <w:rPr>
          <w:rFonts w:asciiTheme="minorHAnsi" w:hAnsiTheme="minorHAnsi" w:cstheme="minorHAnsi"/>
          <w:sz w:val="22"/>
        </w:rPr>
        <w:t xml:space="preserve">A Memorandum of Agreement is being prepared to take into account and mitigate the effect of the undertaking on the Illinois Central Railroad (39MH2018). </w:t>
      </w:r>
      <w:r w:rsidR="000543EA">
        <w:rPr>
          <w:rFonts w:asciiTheme="minorHAnsi" w:hAnsiTheme="minorHAnsi" w:cstheme="minorHAnsi"/>
          <w:sz w:val="22"/>
        </w:rPr>
        <w:t xml:space="preserve">The MOA is still in draft </w:t>
      </w:r>
      <w:r w:rsidR="009909E4">
        <w:rPr>
          <w:rFonts w:asciiTheme="minorHAnsi" w:hAnsiTheme="minorHAnsi" w:cstheme="minorHAnsi"/>
          <w:sz w:val="22"/>
        </w:rPr>
        <w:t>form but</w:t>
      </w:r>
      <w:r w:rsidR="000543EA">
        <w:rPr>
          <w:rFonts w:asciiTheme="minorHAnsi" w:hAnsiTheme="minorHAnsi" w:cstheme="minorHAnsi"/>
          <w:sz w:val="22"/>
        </w:rPr>
        <w:t xml:space="preserve"> is anticipated to include mitigation measures that will document the entire length of the </w:t>
      </w:r>
      <w:r w:rsidR="000543EA" w:rsidRPr="000543EA">
        <w:rPr>
          <w:rFonts w:asciiTheme="minorHAnsi" w:hAnsiTheme="minorHAnsi" w:cstheme="minorHAnsi"/>
          <w:sz w:val="22"/>
        </w:rPr>
        <w:t>Illinois Central Railroad (39MH2018)</w:t>
      </w:r>
      <w:r w:rsidR="000543EA">
        <w:rPr>
          <w:rFonts w:asciiTheme="minorHAnsi" w:hAnsiTheme="minorHAnsi" w:cstheme="minorHAnsi"/>
          <w:sz w:val="22"/>
        </w:rPr>
        <w:t xml:space="preserve"> trackage in South Dakota, including the generation of a historic </w:t>
      </w:r>
      <w:r w:rsidR="009909E4">
        <w:rPr>
          <w:rFonts w:asciiTheme="minorHAnsi" w:hAnsiTheme="minorHAnsi" w:cstheme="minorHAnsi"/>
          <w:sz w:val="22"/>
        </w:rPr>
        <w:t>narrative focused on the railroad</w:t>
      </w:r>
      <w:r w:rsidR="000543EA">
        <w:rPr>
          <w:rFonts w:asciiTheme="minorHAnsi" w:hAnsiTheme="minorHAnsi" w:cstheme="minorHAnsi"/>
          <w:sz w:val="22"/>
        </w:rPr>
        <w:t xml:space="preserve"> and an intensive documentation of the entire resource. The current project will impact approximately 3 miles of the </w:t>
      </w:r>
      <w:r w:rsidR="000543EA" w:rsidRPr="000543EA">
        <w:rPr>
          <w:rFonts w:asciiTheme="minorHAnsi" w:hAnsiTheme="minorHAnsi" w:cstheme="minorHAnsi"/>
          <w:sz w:val="22"/>
        </w:rPr>
        <w:t>Illinois Central Railroad (39MH2018</w:t>
      </w:r>
      <w:r w:rsidR="0053287D" w:rsidRPr="000543EA">
        <w:rPr>
          <w:rFonts w:asciiTheme="minorHAnsi" w:hAnsiTheme="minorHAnsi" w:cstheme="minorHAnsi"/>
          <w:sz w:val="22"/>
        </w:rPr>
        <w:t>)</w:t>
      </w:r>
      <w:r w:rsidR="0053287D">
        <w:rPr>
          <w:rFonts w:asciiTheme="minorHAnsi" w:hAnsiTheme="minorHAnsi" w:cstheme="minorHAnsi"/>
          <w:sz w:val="22"/>
        </w:rPr>
        <w:t xml:space="preserve"> but will avoid all eligible structures and features. The most intact portions of the rai</w:t>
      </w:r>
      <w:r w:rsidR="009909E4">
        <w:rPr>
          <w:rFonts w:asciiTheme="minorHAnsi" w:hAnsiTheme="minorHAnsi" w:cstheme="minorHAnsi"/>
          <w:sz w:val="22"/>
        </w:rPr>
        <w:t xml:space="preserve">lway will remain outside the project limits. Based on this </w:t>
      </w:r>
      <w:r w:rsidR="00F42020">
        <w:rPr>
          <w:rFonts w:asciiTheme="minorHAnsi" w:hAnsiTheme="minorHAnsi" w:cstheme="minorHAnsi"/>
          <w:sz w:val="22"/>
        </w:rPr>
        <w:t>minimization of impact</w:t>
      </w:r>
      <w:r w:rsidR="009909E4">
        <w:rPr>
          <w:rFonts w:asciiTheme="minorHAnsi" w:hAnsiTheme="minorHAnsi" w:cstheme="minorHAnsi"/>
          <w:sz w:val="22"/>
        </w:rPr>
        <w:t xml:space="preserve"> and </w:t>
      </w:r>
      <w:r w:rsidR="00F42020">
        <w:rPr>
          <w:rFonts w:asciiTheme="minorHAnsi" w:hAnsiTheme="minorHAnsi" w:cstheme="minorHAnsi"/>
          <w:sz w:val="22"/>
        </w:rPr>
        <w:t xml:space="preserve">the </w:t>
      </w:r>
      <w:r w:rsidR="009909E4">
        <w:rPr>
          <w:rFonts w:asciiTheme="minorHAnsi" w:hAnsiTheme="minorHAnsi" w:cstheme="minorHAnsi"/>
          <w:sz w:val="22"/>
        </w:rPr>
        <w:t xml:space="preserve">nature of the railroad resource, </w:t>
      </w:r>
      <w:r w:rsidRPr="007E2A6A">
        <w:rPr>
          <w:rFonts w:asciiTheme="minorHAnsi" w:hAnsiTheme="minorHAnsi" w:cstheme="minorHAnsi"/>
          <w:sz w:val="22"/>
        </w:rPr>
        <w:t xml:space="preserve">SDDOT and FHWA have determined that </w:t>
      </w:r>
      <w:r w:rsidR="00F42020">
        <w:rPr>
          <w:rFonts w:asciiTheme="minorHAnsi" w:hAnsiTheme="minorHAnsi" w:cstheme="minorHAnsi"/>
          <w:sz w:val="22"/>
        </w:rPr>
        <w:t xml:space="preserve">the portion of </w:t>
      </w:r>
      <w:r w:rsidRPr="007E2A6A">
        <w:rPr>
          <w:rFonts w:asciiTheme="minorHAnsi" w:hAnsiTheme="minorHAnsi" w:cstheme="minorHAnsi"/>
          <w:sz w:val="22"/>
        </w:rPr>
        <w:t xml:space="preserve">site 39MH2018 </w:t>
      </w:r>
      <w:r w:rsidR="00F42020">
        <w:rPr>
          <w:rFonts w:asciiTheme="minorHAnsi" w:hAnsiTheme="minorHAnsi" w:cstheme="minorHAnsi"/>
          <w:sz w:val="22"/>
        </w:rPr>
        <w:t xml:space="preserve">being impacted by the project </w:t>
      </w:r>
      <w:r w:rsidRPr="007E2A6A">
        <w:rPr>
          <w:rFonts w:asciiTheme="minorHAnsi" w:hAnsiTheme="minorHAnsi" w:cstheme="minorHAnsi"/>
          <w:sz w:val="22"/>
        </w:rPr>
        <w:t>has minimal value for preservation in place</w:t>
      </w:r>
      <w:r w:rsidR="00C6238A" w:rsidRPr="007E2A6A">
        <w:rPr>
          <w:rFonts w:asciiTheme="minorHAnsi" w:hAnsiTheme="minorHAnsi" w:cstheme="minorHAnsi"/>
          <w:sz w:val="22"/>
        </w:rPr>
        <w:t xml:space="preserve"> and the resource is important chiefly because of what can be learned through mitigation/data recovery efforts. The ensuing MOA resulting from Section 106 </w:t>
      </w:r>
      <w:r w:rsidR="007E2A6A" w:rsidRPr="007E2A6A">
        <w:rPr>
          <w:rFonts w:asciiTheme="minorHAnsi" w:hAnsiTheme="minorHAnsi" w:cstheme="minorHAnsi"/>
          <w:sz w:val="22"/>
        </w:rPr>
        <w:t>effect resolution</w:t>
      </w:r>
      <w:r w:rsidR="00C6238A" w:rsidRPr="007E2A6A">
        <w:rPr>
          <w:rFonts w:asciiTheme="minorHAnsi" w:hAnsiTheme="minorHAnsi" w:cstheme="minorHAnsi"/>
          <w:sz w:val="22"/>
        </w:rPr>
        <w:t xml:space="preserve"> will </w:t>
      </w:r>
      <w:r w:rsidR="007E2A6A" w:rsidRPr="007E2A6A">
        <w:rPr>
          <w:rFonts w:asciiTheme="minorHAnsi" w:hAnsiTheme="minorHAnsi" w:cstheme="minorHAnsi"/>
          <w:sz w:val="22"/>
        </w:rPr>
        <w:t xml:space="preserve">stipulate the nature and extent of mitigation efforts associated with this resource. </w:t>
      </w:r>
    </w:p>
    <w:p w14:paraId="48479379" w14:textId="77777777" w:rsidR="00120631" w:rsidRPr="007E2A6A" w:rsidRDefault="00120631" w:rsidP="00266DAA">
      <w:pPr>
        <w:tabs>
          <w:tab w:val="left" w:pos="660"/>
        </w:tabs>
        <w:ind w:right="117"/>
        <w:jc w:val="both"/>
        <w:rPr>
          <w:rFonts w:asciiTheme="minorHAnsi" w:hAnsiTheme="minorHAnsi" w:cstheme="minorHAnsi"/>
          <w:sz w:val="22"/>
          <w:highlight w:val="yellow"/>
        </w:rPr>
      </w:pPr>
    </w:p>
    <w:p w14:paraId="35A25791" w14:textId="27390CBC" w:rsidR="00464C64" w:rsidRPr="007E2A6A" w:rsidRDefault="00464C64" w:rsidP="007E2A6A">
      <w:pPr>
        <w:tabs>
          <w:tab w:val="left" w:pos="660"/>
        </w:tabs>
        <w:ind w:right="117"/>
        <w:jc w:val="both"/>
        <w:rPr>
          <w:rFonts w:asciiTheme="minorHAnsi" w:hAnsiTheme="minorHAnsi" w:cstheme="minorHAnsi"/>
          <w:sz w:val="22"/>
        </w:rPr>
      </w:pPr>
      <w:r w:rsidRPr="007E2A6A">
        <w:rPr>
          <w:rFonts w:asciiTheme="minorHAnsi" w:hAnsiTheme="minorHAnsi" w:cstheme="minorHAnsi"/>
          <w:sz w:val="22"/>
        </w:rPr>
        <w:t>If</w:t>
      </w:r>
      <w:r w:rsidRPr="007E2A6A">
        <w:rPr>
          <w:rFonts w:asciiTheme="minorHAnsi" w:hAnsiTheme="minorHAnsi" w:cstheme="minorHAnsi"/>
          <w:spacing w:val="-10"/>
          <w:sz w:val="22"/>
        </w:rPr>
        <w:t xml:space="preserve"> </w:t>
      </w:r>
      <w:r w:rsidRPr="007E2A6A">
        <w:rPr>
          <w:rFonts w:asciiTheme="minorHAnsi" w:hAnsiTheme="minorHAnsi" w:cstheme="minorHAnsi"/>
          <w:sz w:val="22"/>
        </w:rPr>
        <w:t>you</w:t>
      </w:r>
      <w:r w:rsidRPr="007E2A6A">
        <w:rPr>
          <w:rFonts w:asciiTheme="minorHAnsi" w:hAnsiTheme="minorHAnsi" w:cstheme="minorHAnsi"/>
          <w:spacing w:val="-10"/>
          <w:sz w:val="22"/>
        </w:rPr>
        <w:t xml:space="preserve"> </w:t>
      </w:r>
      <w:r w:rsidR="007E2A6A" w:rsidRPr="007E2A6A">
        <w:rPr>
          <w:rFonts w:asciiTheme="minorHAnsi" w:hAnsiTheme="minorHAnsi" w:cstheme="minorHAnsi"/>
          <w:b/>
          <w:bCs/>
          <w:spacing w:val="-10"/>
          <w:sz w:val="22"/>
        </w:rPr>
        <w:t>do not object</w:t>
      </w:r>
      <w:r w:rsidR="007E2A6A" w:rsidRPr="007E2A6A">
        <w:rPr>
          <w:rFonts w:asciiTheme="minorHAnsi" w:hAnsiTheme="minorHAnsi" w:cstheme="minorHAnsi"/>
          <w:spacing w:val="-10"/>
          <w:sz w:val="22"/>
        </w:rPr>
        <w:t xml:space="preserve"> </w:t>
      </w:r>
      <w:r w:rsidR="007E2A6A">
        <w:rPr>
          <w:rFonts w:asciiTheme="minorHAnsi" w:hAnsiTheme="minorHAnsi" w:cstheme="minorHAnsi"/>
          <w:sz w:val="22"/>
        </w:rPr>
        <w:t xml:space="preserve">to the application of </w:t>
      </w:r>
      <w:r w:rsidR="007E2A6A" w:rsidRPr="007E2A6A">
        <w:rPr>
          <w:rFonts w:asciiTheme="minorHAnsi" w:hAnsiTheme="minorHAnsi" w:cstheme="minorHAnsi"/>
          <w:sz w:val="22"/>
        </w:rPr>
        <w:t>a 4(f) exception in association with the Illinois Central Railroad (39MH2018)</w:t>
      </w:r>
      <w:r w:rsidRPr="007E2A6A">
        <w:rPr>
          <w:rFonts w:asciiTheme="minorHAnsi" w:hAnsiTheme="minorHAnsi" w:cstheme="minorHAnsi"/>
          <w:sz w:val="22"/>
        </w:rPr>
        <w:t>,</w:t>
      </w:r>
      <w:r w:rsidRPr="007E2A6A">
        <w:rPr>
          <w:rFonts w:asciiTheme="minorHAnsi" w:hAnsiTheme="minorHAnsi" w:cstheme="minorHAnsi"/>
          <w:spacing w:val="-8"/>
          <w:sz w:val="22"/>
        </w:rPr>
        <w:t xml:space="preserve"> </w:t>
      </w:r>
      <w:r w:rsidRPr="007E2A6A">
        <w:rPr>
          <w:rFonts w:asciiTheme="minorHAnsi" w:hAnsiTheme="minorHAnsi" w:cstheme="minorHAnsi"/>
          <w:sz w:val="22"/>
        </w:rPr>
        <w:t>please</w:t>
      </w:r>
      <w:r w:rsidRPr="007E2A6A">
        <w:rPr>
          <w:rFonts w:asciiTheme="minorHAnsi" w:hAnsiTheme="minorHAnsi" w:cstheme="minorHAnsi"/>
          <w:spacing w:val="-7"/>
          <w:sz w:val="22"/>
        </w:rPr>
        <w:t xml:space="preserve"> </w:t>
      </w:r>
      <w:r w:rsidRPr="007E2A6A">
        <w:rPr>
          <w:rFonts w:asciiTheme="minorHAnsi" w:hAnsiTheme="minorHAnsi" w:cstheme="minorHAnsi"/>
          <w:sz w:val="22"/>
        </w:rPr>
        <w:t>indicate</w:t>
      </w:r>
      <w:r w:rsidRPr="007E2A6A">
        <w:rPr>
          <w:rFonts w:asciiTheme="minorHAnsi" w:hAnsiTheme="minorHAnsi" w:cstheme="minorHAnsi"/>
          <w:spacing w:val="-7"/>
          <w:sz w:val="22"/>
        </w:rPr>
        <w:t xml:space="preserve"> </w:t>
      </w:r>
      <w:r w:rsidRPr="007E2A6A">
        <w:rPr>
          <w:rFonts w:asciiTheme="minorHAnsi" w:hAnsiTheme="minorHAnsi" w:cstheme="minorHAnsi"/>
          <w:sz w:val="22"/>
        </w:rPr>
        <w:t>as</w:t>
      </w:r>
      <w:r w:rsidRPr="007E2A6A">
        <w:rPr>
          <w:rFonts w:asciiTheme="minorHAnsi" w:hAnsiTheme="minorHAnsi" w:cstheme="minorHAnsi"/>
          <w:spacing w:val="-7"/>
          <w:sz w:val="22"/>
        </w:rPr>
        <w:t xml:space="preserve"> </w:t>
      </w:r>
      <w:r w:rsidRPr="007E2A6A">
        <w:rPr>
          <w:rFonts w:asciiTheme="minorHAnsi" w:hAnsiTheme="minorHAnsi" w:cstheme="minorHAnsi"/>
          <w:sz w:val="22"/>
        </w:rPr>
        <w:t>such</w:t>
      </w:r>
      <w:r w:rsidRPr="007E2A6A">
        <w:rPr>
          <w:rFonts w:asciiTheme="minorHAnsi" w:hAnsiTheme="minorHAnsi" w:cstheme="minorHAnsi"/>
          <w:spacing w:val="-7"/>
          <w:sz w:val="22"/>
        </w:rPr>
        <w:t xml:space="preserve"> </w:t>
      </w:r>
      <w:r w:rsidRPr="007E2A6A">
        <w:rPr>
          <w:rFonts w:asciiTheme="minorHAnsi" w:hAnsiTheme="minorHAnsi" w:cstheme="minorHAnsi"/>
          <w:sz w:val="22"/>
        </w:rPr>
        <w:t>by</w:t>
      </w:r>
      <w:r w:rsidRPr="007E2A6A">
        <w:rPr>
          <w:rFonts w:asciiTheme="minorHAnsi" w:hAnsiTheme="minorHAnsi" w:cstheme="minorHAnsi"/>
          <w:spacing w:val="-7"/>
          <w:sz w:val="22"/>
        </w:rPr>
        <w:t xml:space="preserve"> </w:t>
      </w:r>
      <w:r w:rsidRPr="007E2A6A">
        <w:rPr>
          <w:rFonts w:asciiTheme="minorHAnsi" w:hAnsiTheme="minorHAnsi" w:cstheme="minorHAnsi"/>
          <w:sz w:val="22"/>
        </w:rPr>
        <w:t>providing</w:t>
      </w:r>
      <w:r w:rsidRPr="007E2A6A">
        <w:rPr>
          <w:rFonts w:asciiTheme="minorHAnsi" w:hAnsiTheme="minorHAnsi" w:cstheme="minorHAnsi"/>
          <w:spacing w:val="-8"/>
          <w:sz w:val="22"/>
        </w:rPr>
        <w:t xml:space="preserve"> </w:t>
      </w:r>
      <w:r w:rsidRPr="007E2A6A">
        <w:rPr>
          <w:rFonts w:asciiTheme="minorHAnsi" w:hAnsiTheme="minorHAnsi" w:cstheme="minorHAnsi"/>
          <w:sz w:val="22"/>
        </w:rPr>
        <w:t>your</w:t>
      </w:r>
      <w:r w:rsidRPr="007E2A6A">
        <w:rPr>
          <w:rFonts w:asciiTheme="minorHAnsi" w:hAnsiTheme="minorHAnsi" w:cstheme="minorHAnsi"/>
          <w:spacing w:val="-7"/>
          <w:sz w:val="22"/>
        </w:rPr>
        <w:t xml:space="preserve"> </w:t>
      </w:r>
      <w:r w:rsidRPr="007E2A6A">
        <w:rPr>
          <w:rFonts w:asciiTheme="minorHAnsi" w:hAnsiTheme="minorHAnsi" w:cstheme="minorHAnsi"/>
          <w:sz w:val="22"/>
        </w:rPr>
        <w:t>signature</w:t>
      </w:r>
      <w:r w:rsidRPr="007E2A6A">
        <w:rPr>
          <w:rFonts w:asciiTheme="minorHAnsi" w:hAnsiTheme="minorHAnsi" w:cstheme="minorHAnsi"/>
          <w:spacing w:val="-8"/>
          <w:sz w:val="22"/>
        </w:rPr>
        <w:t xml:space="preserve"> </w:t>
      </w:r>
      <w:r w:rsidRPr="007E2A6A">
        <w:rPr>
          <w:rFonts w:asciiTheme="minorHAnsi" w:hAnsiTheme="minorHAnsi" w:cstheme="minorHAnsi"/>
          <w:sz w:val="22"/>
        </w:rPr>
        <w:t>in</w:t>
      </w:r>
      <w:r w:rsidRPr="007E2A6A">
        <w:rPr>
          <w:rFonts w:asciiTheme="minorHAnsi" w:hAnsiTheme="minorHAnsi" w:cstheme="minorHAnsi"/>
          <w:spacing w:val="-8"/>
          <w:sz w:val="22"/>
        </w:rPr>
        <w:t xml:space="preserve"> </w:t>
      </w:r>
      <w:r w:rsidRPr="007E2A6A">
        <w:rPr>
          <w:rFonts w:asciiTheme="minorHAnsi" w:hAnsiTheme="minorHAnsi" w:cstheme="minorHAnsi"/>
          <w:sz w:val="22"/>
        </w:rPr>
        <w:t>the</w:t>
      </w:r>
      <w:r w:rsidRPr="007E2A6A">
        <w:rPr>
          <w:rFonts w:asciiTheme="minorHAnsi" w:hAnsiTheme="minorHAnsi" w:cstheme="minorHAnsi"/>
          <w:spacing w:val="-7"/>
          <w:sz w:val="22"/>
        </w:rPr>
        <w:t xml:space="preserve"> </w:t>
      </w:r>
      <w:r w:rsidRPr="007E2A6A">
        <w:rPr>
          <w:rFonts w:asciiTheme="minorHAnsi" w:hAnsiTheme="minorHAnsi" w:cstheme="minorHAnsi"/>
          <w:sz w:val="22"/>
        </w:rPr>
        <w:t>space</w:t>
      </w:r>
      <w:r w:rsidRPr="007E2A6A">
        <w:rPr>
          <w:rFonts w:asciiTheme="minorHAnsi" w:hAnsiTheme="minorHAnsi" w:cstheme="minorHAnsi"/>
          <w:spacing w:val="-8"/>
          <w:sz w:val="22"/>
        </w:rPr>
        <w:t xml:space="preserve"> </w:t>
      </w:r>
      <w:r w:rsidRPr="007E2A6A">
        <w:rPr>
          <w:rFonts w:asciiTheme="minorHAnsi" w:hAnsiTheme="minorHAnsi" w:cstheme="minorHAnsi"/>
          <w:sz w:val="22"/>
        </w:rPr>
        <w:t>provided</w:t>
      </w:r>
      <w:r w:rsidRPr="007E2A6A">
        <w:rPr>
          <w:rFonts w:asciiTheme="minorHAnsi" w:hAnsiTheme="minorHAnsi" w:cstheme="minorHAnsi"/>
          <w:spacing w:val="-7"/>
          <w:sz w:val="22"/>
        </w:rPr>
        <w:t xml:space="preserve"> </w:t>
      </w:r>
      <w:r w:rsidRPr="007E2A6A">
        <w:rPr>
          <w:rFonts w:asciiTheme="minorHAnsi" w:hAnsiTheme="minorHAnsi" w:cstheme="minorHAnsi"/>
          <w:sz w:val="22"/>
        </w:rPr>
        <w:t>below at your earliest convenience so the project’s environmental documentation can be completed. Thank you for your time and cooperation on this matter. If you have questions and/or concerns, please feel free to contact me.</w:t>
      </w:r>
    </w:p>
    <w:p w14:paraId="1B23ADE4" w14:textId="77777777" w:rsidR="00370764" w:rsidRPr="007E2A6A" w:rsidRDefault="00370764" w:rsidP="00370764">
      <w:pPr>
        <w:rPr>
          <w:rFonts w:asciiTheme="minorHAnsi" w:hAnsiTheme="minorHAnsi" w:cstheme="minorHAnsi"/>
          <w:sz w:val="22"/>
        </w:rPr>
      </w:pPr>
    </w:p>
    <w:p w14:paraId="42D2CF0E" w14:textId="77777777" w:rsidR="00370764" w:rsidRPr="007E2A6A" w:rsidRDefault="00370764" w:rsidP="00370764">
      <w:pPr>
        <w:rPr>
          <w:rFonts w:asciiTheme="minorHAnsi" w:hAnsiTheme="minorHAnsi" w:cstheme="minorHAnsi"/>
          <w:sz w:val="22"/>
        </w:rPr>
      </w:pPr>
      <w:r w:rsidRPr="007E2A6A">
        <w:rPr>
          <w:rFonts w:asciiTheme="minorHAnsi" w:hAnsiTheme="minorHAnsi" w:cstheme="minorHAnsi"/>
          <w:sz w:val="22"/>
        </w:rPr>
        <w:t>Sincerely,</w:t>
      </w:r>
    </w:p>
    <w:p w14:paraId="2C5E3403" w14:textId="1781A757" w:rsidR="00370764" w:rsidRPr="007E2A6A" w:rsidRDefault="00370764" w:rsidP="00370764">
      <w:pPr>
        <w:rPr>
          <w:rFonts w:asciiTheme="minorHAnsi" w:hAnsiTheme="minorHAnsi" w:cstheme="minorHAnsi"/>
          <w:sz w:val="22"/>
        </w:rPr>
      </w:pPr>
      <w:r w:rsidRPr="007E2A6A">
        <w:rPr>
          <w:rFonts w:asciiTheme="minorHAnsi" w:hAnsiTheme="minorHAnsi" w:cstheme="minorHAnsi"/>
          <w:noProof/>
          <w:sz w:val="22"/>
        </w:rPr>
        <w:drawing>
          <wp:anchor distT="0" distB="0" distL="114300" distR="114300" simplePos="0" relativeHeight="251661312" behindDoc="1" locked="0" layoutInCell="1" allowOverlap="1" wp14:anchorId="1F34554F" wp14:editId="5B9B66AF">
            <wp:simplePos x="0" y="0"/>
            <wp:positionH relativeFrom="column">
              <wp:posOffset>38100</wp:posOffset>
            </wp:positionH>
            <wp:positionV relativeFrom="paragraph">
              <wp:posOffset>102235</wp:posOffset>
            </wp:positionV>
            <wp:extent cx="1359535"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646430"/>
                    </a:xfrm>
                    <a:prstGeom prst="rect">
                      <a:avLst/>
                    </a:prstGeom>
                    <a:noFill/>
                  </pic:spPr>
                </pic:pic>
              </a:graphicData>
            </a:graphic>
            <wp14:sizeRelH relativeFrom="page">
              <wp14:pctWidth>0</wp14:pctWidth>
            </wp14:sizeRelH>
            <wp14:sizeRelV relativeFrom="page">
              <wp14:pctHeight>0</wp14:pctHeight>
            </wp14:sizeRelV>
          </wp:anchor>
        </w:drawing>
      </w:r>
    </w:p>
    <w:p w14:paraId="34FE2E75" w14:textId="77777777" w:rsidR="00370764" w:rsidRPr="007E2A6A" w:rsidRDefault="00370764" w:rsidP="00370764">
      <w:pPr>
        <w:rPr>
          <w:rFonts w:asciiTheme="minorHAnsi" w:hAnsiTheme="minorHAnsi" w:cstheme="minorHAnsi"/>
          <w:sz w:val="22"/>
        </w:rPr>
      </w:pPr>
    </w:p>
    <w:p w14:paraId="16491067" w14:textId="77777777" w:rsidR="00370764" w:rsidRPr="007E2A6A" w:rsidRDefault="00370764" w:rsidP="00370764">
      <w:pPr>
        <w:rPr>
          <w:rFonts w:asciiTheme="minorHAnsi" w:hAnsiTheme="minorHAnsi" w:cstheme="minorHAnsi"/>
          <w:sz w:val="22"/>
        </w:rPr>
      </w:pPr>
    </w:p>
    <w:p w14:paraId="0C07075A" w14:textId="77777777" w:rsidR="00370764" w:rsidRPr="007E2A6A" w:rsidRDefault="00370764" w:rsidP="00370764">
      <w:pPr>
        <w:rPr>
          <w:rFonts w:asciiTheme="minorHAnsi" w:hAnsiTheme="minorHAnsi" w:cstheme="minorHAnsi"/>
          <w:sz w:val="22"/>
        </w:rPr>
      </w:pPr>
    </w:p>
    <w:p w14:paraId="04B1C990" w14:textId="77777777" w:rsidR="00370764" w:rsidRPr="007E2A6A" w:rsidRDefault="00370764" w:rsidP="00370764">
      <w:pPr>
        <w:rPr>
          <w:rFonts w:asciiTheme="minorHAnsi" w:hAnsiTheme="minorHAnsi" w:cstheme="minorHAnsi"/>
          <w:sz w:val="22"/>
        </w:rPr>
      </w:pPr>
      <w:r w:rsidRPr="007E2A6A">
        <w:rPr>
          <w:rFonts w:asciiTheme="minorHAnsi" w:hAnsiTheme="minorHAnsi" w:cstheme="minorHAnsi"/>
          <w:sz w:val="22"/>
        </w:rPr>
        <w:t xml:space="preserve">Emily Calhoun, MA, RPA </w:t>
      </w:r>
    </w:p>
    <w:p w14:paraId="338E3FD4" w14:textId="77777777" w:rsidR="00370764" w:rsidRPr="007E2A6A" w:rsidRDefault="00370764" w:rsidP="00370764">
      <w:pPr>
        <w:rPr>
          <w:rFonts w:asciiTheme="minorHAnsi" w:hAnsiTheme="minorHAnsi" w:cstheme="minorHAnsi"/>
          <w:sz w:val="22"/>
        </w:rPr>
      </w:pPr>
      <w:r w:rsidRPr="007E2A6A">
        <w:rPr>
          <w:rFonts w:asciiTheme="minorHAnsi" w:hAnsiTheme="minorHAnsi" w:cstheme="minorHAnsi"/>
          <w:sz w:val="22"/>
        </w:rPr>
        <w:t>Environmental Scientist</w:t>
      </w:r>
    </w:p>
    <w:p w14:paraId="2D717291" w14:textId="7333696D" w:rsidR="00686FA4" w:rsidRPr="007E2A6A" w:rsidRDefault="00370764" w:rsidP="00370764">
      <w:pPr>
        <w:rPr>
          <w:rFonts w:asciiTheme="minorHAnsi" w:hAnsiTheme="minorHAnsi" w:cstheme="minorHAnsi"/>
          <w:spacing w:val="-2"/>
          <w:sz w:val="22"/>
          <w:szCs w:val="22"/>
        </w:rPr>
      </w:pPr>
      <w:r w:rsidRPr="007E2A6A">
        <w:rPr>
          <w:rFonts w:asciiTheme="minorHAnsi" w:hAnsiTheme="minorHAnsi" w:cstheme="minorHAnsi"/>
          <w:sz w:val="22"/>
        </w:rPr>
        <w:t>605.773.3436</w:t>
      </w:r>
    </w:p>
    <w:p w14:paraId="121C2B36" w14:textId="73BF411B" w:rsidR="008A2211" w:rsidRDefault="008A2211" w:rsidP="00686FA4">
      <w:pPr>
        <w:tabs>
          <w:tab w:val="left" w:pos="720"/>
          <w:tab w:val="center" w:pos="4680"/>
        </w:tabs>
        <w:suppressAutoHyphens/>
        <w:ind w:left="-90"/>
        <w:rPr>
          <w:rFonts w:ascii="Tahoma" w:hAnsi="Tahoma" w:cs="Tahoma"/>
        </w:rPr>
      </w:pPr>
    </w:p>
    <w:p w14:paraId="2D96416A" w14:textId="77777777" w:rsidR="005175F0" w:rsidRPr="005175F0" w:rsidRDefault="005175F0" w:rsidP="005175F0">
      <w:pPr>
        <w:tabs>
          <w:tab w:val="left" w:pos="720"/>
          <w:tab w:val="center" w:pos="4680"/>
        </w:tabs>
        <w:suppressAutoHyphens/>
        <w:rPr>
          <w:rFonts w:asciiTheme="minorHAnsi" w:hAnsiTheme="minorHAnsi" w:cstheme="minorHAnsi"/>
          <w:sz w:val="22"/>
          <w:szCs w:val="22"/>
        </w:rPr>
      </w:pPr>
      <w:r w:rsidRPr="005175F0">
        <w:rPr>
          <w:rFonts w:asciiTheme="minorHAnsi" w:hAnsiTheme="minorHAnsi" w:cstheme="minorHAnsi"/>
          <w:sz w:val="22"/>
          <w:szCs w:val="22"/>
        </w:rPr>
        <w:t>CC:</w:t>
      </w:r>
      <w:r w:rsidRPr="005175F0">
        <w:rPr>
          <w:rFonts w:asciiTheme="minorHAnsi" w:hAnsiTheme="minorHAnsi" w:cstheme="minorHAnsi"/>
          <w:sz w:val="22"/>
          <w:szCs w:val="22"/>
        </w:rPr>
        <w:tab/>
        <w:t>Jenna Carlson Dietmeier, SHPO</w:t>
      </w:r>
    </w:p>
    <w:p w14:paraId="6BFBEFF5" w14:textId="21AB6507" w:rsidR="005175F0" w:rsidRPr="005175F0" w:rsidRDefault="005175F0" w:rsidP="005175F0">
      <w:pPr>
        <w:tabs>
          <w:tab w:val="left" w:pos="720"/>
          <w:tab w:val="center" w:pos="4680"/>
        </w:tabs>
        <w:suppressAutoHyphens/>
        <w:rPr>
          <w:rFonts w:asciiTheme="minorHAnsi" w:hAnsiTheme="minorHAnsi" w:cstheme="minorHAnsi"/>
          <w:sz w:val="22"/>
          <w:szCs w:val="22"/>
        </w:rPr>
      </w:pPr>
      <w:r w:rsidRPr="005175F0">
        <w:rPr>
          <w:rFonts w:asciiTheme="minorHAnsi" w:hAnsiTheme="minorHAnsi" w:cstheme="minorHAnsi"/>
          <w:sz w:val="22"/>
          <w:szCs w:val="22"/>
        </w:rPr>
        <w:tab/>
      </w:r>
    </w:p>
    <w:p w14:paraId="3B316FD5" w14:textId="77777777" w:rsidR="005175F0" w:rsidRPr="005175F0" w:rsidRDefault="005175F0" w:rsidP="005175F0">
      <w:pPr>
        <w:tabs>
          <w:tab w:val="left" w:pos="720"/>
          <w:tab w:val="center" w:pos="4680"/>
        </w:tabs>
        <w:suppressAutoHyphens/>
        <w:jc w:val="both"/>
        <w:rPr>
          <w:rFonts w:asciiTheme="minorHAnsi" w:hAnsiTheme="minorHAnsi" w:cstheme="minorHAnsi"/>
          <w:sz w:val="22"/>
          <w:szCs w:val="22"/>
        </w:rPr>
      </w:pPr>
      <w:r w:rsidRPr="005175F0">
        <w:rPr>
          <w:rFonts w:asciiTheme="minorHAnsi" w:hAnsiTheme="minorHAnsi" w:cstheme="minorHAnsi"/>
          <w:sz w:val="22"/>
          <w:szCs w:val="22"/>
        </w:rPr>
        <w:t>Attachments</w:t>
      </w:r>
    </w:p>
    <w:p w14:paraId="0B319A7A" w14:textId="77777777" w:rsidR="00370764" w:rsidRDefault="00370764" w:rsidP="00686FA4">
      <w:pPr>
        <w:tabs>
          <w:tab w:val="left" w:pos="720"/>
          <w:tab w:val="center" w:pos="4680"/>
        </w:tabs>
        <w:suppressAutoHyphens/>
        <w:ind w:left="-90"/>
        <w:rPr>
          <w:rFonts w:ascii="Tahoma" w:hAnsi="Tahoma" w:cs="Tahoma"/>
        </w:rPr>
      </w:pPr>
    </w:p>
    <w:p w14:paraId="5DB2716F" w14:textId="77777777" w:rsidR="008A2211" w:rsidRPr="008A2211" w:rsidRDefault="008A2211" w:rsidP="00686FA4">
      <w:pPr>
        <w:tabs>
          <w:tab w:val="left" w:pos="720"/>
          <w:tab w:val="center" w:pos="4680"/>
        </w:tabs>
        <w:suppressAutoHyphens/>
        <w:ind w:left="-90"/>
        <w:rPr>
          <w:rFonts w:ascii="Tahoma" w:hAnsi="Tahoma" w:cs="Tahoma"/>
        </w:rPr>
      </w:pPr>
    </w:p>
    <w:p w14:paraId="21B69FB8" w14:textId="77777777" w:rsidR="008A2211" w:rsidRPr="008A2211" w:rsidRDefault="008A2211" w:rsidP="00686FA4">
      <w:pPr>
        <w:tabs>
          <w:tab w:val="left" w:pos="720"/>
          <w:tab w:val="center" w:pos="4680"/>
        </w:tabs>
        <w:suppressAutoHyphens/>
        <w:ind w:left="-90"/>
        <w:rPr>
          <w:rFonts w:ascii="Tahoma" w:hAnsi="Tahoma" w:cs="Tahoma"/>
        </w:rPr>
      </w:pPr>
    </w:p>
    <w:p w14:paraId="761A1B00" w14:textId="77777777" w:rsidR="008A2211" w:rsidRPr="007E2A6A" w:rsidRDefault="008A2211" w:rsidP="00686FA4">
      <w:pPr>
        <w:tabs>
          <w:tab w:val="left" w:pos="720"/>
          <w:tab w:val="center" w:pos="4680"/>
        </w:tabs>
        <w:suppressAutoHyphens/>
        <w:ind w:left="-90"/>
        <w:rPr>
          <w:rFonts w:asciiTheme="minorHAnsi" w:hAnsiTheme="minorHAnsi" w:cstheme="minorHAnsi"/>
          <w:sz w:val="21"/>
          <w:szCs w:val="21"/>
        </w:rPr>
        <w:sectPr w:rsidR="008A2211" w:rsidRPr="007E2A6A" w:rsidSect="00686FA4">
          <w:headerReference w:type="default" r:id="rId9"/>
          <w:pgSz w:w="12240" w:h="15840" w:code="1"/>
          <w:pgMar w:top="360" w:right="1530" w:bottom="630" w:left="900" w:header="720" w:footer="720" w:gutter="0"/>
          <w:cols w:space="720"/>
          <w:docGrid w:linePitch="272"/>
        </w:sectPr>
      </w:pPr>
    </w:p>
    <w:p w14:paraId="6D754B08" w14:textId="2A18C68E" w:rsidR="007E2A6A" w:rsidRDefault="007E2A6A" w:rsidP="00686FA4">
      <w:pPr>
        <w:pStyle w:val="BodyText"/>
        <w:spacing w:after="0"/>
        <w:ind w:left="-90"/>
        <w:rPr>
          <w:rFonts w:asciiTheme="minorHAnsi" w:hAnsiTheme="minorHAnsi" w:cstheme="minorHAnsi"/>
          <w:sz w:val="22"/>
        </w:rPr>
      </w:pPr>
    </w:p>
    <w:p w14:paraId="3BC238B8" w14:textId="77777777" w:rsidR="008B1154" w:rsidRPr="008B1154" w:rsidRDefault="008B1154" w:rsidP="008B1154">
      <w:pPr>
        <w:pStyle w:val="BodyText"/>
        <w:spacing w:after="0"/>
        <w:ind w:left="-86"/>
        <w:rPr>
          <w:rFonts w:asciiTheme="minorHAnsi" w:hAnsiTheme="minorHAnsi" w:cstheme="minorHAnsi"/>
          <w:b/>
          <w:bCs/>
          <w:sz w:val="22"/>
        </w:rPr>
      </w:pPr>
      <w:r w:rsidRPr="008B1154">
        <w:rPr>
          <w:rFonts w:asciiTheme="minorHAnsi" w:hAnsiTheme="minorHAnsi" w:cstheme="minorHAnsi"/>
          <w:b/>
          <w:bCs/>
          <w:sz w:val="22"/>
        </w:rPr>
        <w:t>Project NH-P 0042(59)373, PCN 03TE, Minnehaha County</w:t>
      </w:r>
    </w:p>
    <w:p w14:paraId="1385FBCC" w14:textId="3DFFEAEC" w:rsidR="008B1154" w:rsidRPr="008B1154" w:rsidRDefault="008B1154" w:rsidP="008B1154">
      <w:pPr>
        <w:pStyle w:val="BodyText"/>
        <w:spacing w:after="0"/>
        <w:ind w:left="-86"/>
        <w:rPr>
          <w:rFonts w:asciiTheme="minorHAnsi" w:hAnsiTheme="minorHAnsi" w:cstheme="minorHAnsi"/>
          <w:b/>
          <w:bCs/>
          <w:sz w:val="22"/>
        </w:rPr>
      </w:pPr>
      <w:r w:rsidRPr="008B1154">
        <w:rPr>
          <w:rFonts w:asciiTheme="minorHAnsi" w:hAnsiTheme="minorHAnsi" w:cstheme="minorHAnsi"/>
          <w:b/>
          <w:bCs/>
          <w:sz w:val="22"/>
        </w:rPr>
        <w:t>SHPO Project:200204001F</w:t>
      </w:r>
    </w:p>
    <w:p w14:paraId="6ABCC31A" w14:textId="77777777" w:rsidR="008B1154" w:rsidRPr="008B1154" w:rsidRDefault="008B1154" w:rsidP="008B1154">
      <w:pPr>
        <w:pStyle w:val="BodyText"/>
        <w:spacing w:after="0"/>
        <w:ind w:left="-86"/>
        <w:rPr>
          <w:rFonts w:asciiTheme="minorHAnsi" w:hAnsiTheme="minorHAnsi" w:cstheme="minorHAnsi"/>
          <w:b/>
          <w:bCs/>
          <w:sz w:val="22"/>
        </w:rPr>
      </w:pPr>
    </w:p>
    <w:p w14:paraId="628AC1F0" w14:textId="768B413D" w:rsidR="008A2211" w:rsidRPr="007E2A6A" w:rsidRDefault="008A2211" w:rsidP="00686FA4">
      <w:pPr>
        <w:pStyle w:val="BodyText"/>
        <w:spacing w:after="0"/>
        <w:ind w:left="-90"/>
        <w:rPr>
          <w:rFonts w:asciiTheme="minorHAnsi" w:hAnsiTheme="minorHAnsi" w:cstheme="minorHAnsi"/>
          <w:sz w:val="22"/>
        </w:rPr>
      </w:pPr>
      <w:r w:rsidRPr="007E2A6A">
        <w:rPr>
          <w:rFonts w:asciiTheme="minorHAnsi" w:hAnsiTheme="minorHAnsi" w:cstheme="minorHAnsi"/>
          <w:sz w:val="22"/>
        </w:rPr>
        <w:t xml:space="preserve">OWJ </w:t>
      </w:r>
      <w:r w:rsidR="00370764" w:rsidRPr="007E2A6A">
        <w:rPr>
          <w:rFonts w:asciiTheme="minorHAnsi" w:hAnsiTheme="minorHAnsi" w:cstheme="minorHAnsi"/>
          <w:b/>
          <w:bCs/>
          <w:sz w:val="22"/>
        </w:rPr>
        <w:t>Does Not Object</w:t>
      </w:r>
      <w:r w:rsidR="00370764" w:rsidRPr="007E2A6A">
        <w:rPr>
          <w:rFonts w:asciiTheme="minorHAnsi" w:hAnsiTheme="minorHAnsi" w:cstheme="minorHAnsi"/>
          <w:sz w:val="22"/>
        </w:rPr>
        <w:t xml:space="preserve"> to application of exception to Section 4(f) detailed at 23 CFR 774.13(b)</w:t>
      </w:r>
      <w:r w:rsidR="005175F0">
        <w:rPr>
          <w:rFonts w:asciiTheme="minorHAnsi" w:hAnsiTheme="minorHAnsi" w:cstheme="minorHAnsi"/>
          <w:sz w:val="22"/>
        </w:rPr>
        <w:t xml:space="preserve"> </w:t>
      </w:r>
      <w:r w:rsidR="005175F0" w:rsidRPr="007E2A6A">
        <w:rPr>
          <w:rFonts w:asciiTheme="minorHAnsi" w:hAnsiTheme="minorHAnsi" w:cstheme="minorHAnsi"/>
          <w:sz w:val="22"/>
        </w:rPr>
        <w:t>in association with the Illinois Central Railroad (39MH2018).</w:t>
      </w:r>
      <w:r w:rsidR="00370764" w:rsidRPr="007E2A6A">
        <w:rPr>
          <w:rFonts w:asciiTheme="minorHAnsi" w:hAnsiTheme="minorHAnsi" w:cstheme="minorHAnsi"/>
          <w:sz w:val="22"/>
        </w:rPr>
        <w:t>:</w:t>
      </w:r>
    </w:p>
    <w:p w14:paraId="003F069B" w14:textId="77777777" w:rsidR="008A2211" w:rsidRPr="007E2A6A" w:rsidRDefault="008A2211" w:rsidP="00686FA4">
      <w:pPr>
        <w:pStyle w:val="BodyText"/>
        <w:spacing w:after="0"/>
        <w:ind w:left="-90"/>
        <w:rPr>
          <w:rFonts w:asciiTheme="minorHAnsi" w:hAnsiTheme="minorHAnsi" w:cstheme="minorHAnsi"/>
          <w:sz w:val="22"/>
        </w:rPr>
      </w:pPr>
    </w:p>
    <w:p w14:paraId="0CED29CD" w14:textId="5752CA21" w:rsidR="008A2211" w:rsidRDefault="008A2211" w:rsidP="00686FA4">
      <w:pPr>
        <w:pStyle w:val="BodyText"/>
        <w:spacing w:after="0"/>
        <w:ind w:left="-90"/>
        <w:rPr>
          <w:rFonts w:asciiTheme="minorHAnsi" w:hAnsiTheme="minorHAnsi" w:cstheme="minorHAnsi"/>
          <w:sz w:val="22"/>
        </w:rPr>
      </w:pPr>
    </w:p>
    <w:p w14:paraId="1E213ADE" w14:textId="77777777" w:rsidR="005175F0" w:rsidRPr="007E2A6A" w:rsidRDefault="005175F0" w:rsidP="00686FA4">
      <w:pPr>
        <w:pStyle w:val="BodyText"/>
        <w:spacing w:after="0"/>
        <w:ind w:left="-90"/>
        <w:rPr>
          <w:rFonts w:asciiTheme="minorHAnsi" w:hAnsiTheme="minorHAnsi" w:cstheme="minorHAnsi"/>
          <w:sz w:val="22"/>
        </w:rPr>
      </w:pPr>
    </w:p>
    <w:p w14:paraId="01694783" w14:textId="77777777" w:rsidR="008A2211" w:rsidRPr="007E2A6A" w:rsidRDefault="008A2211" w:rsidP="00686FA4">
      <w:pPr>
        <w:pStyle w:val="BodyText"/>
        <w:spacing w:after="0"/>
        <w:ind w:left="-90"/>
        <w:rPr>
          <w:rFonts w:asciiTheme="minorHAnsi" w:hAnsiTheme="minorHAnsi" w:cstheme="minorHAnsi"/>
        </w:rPr>
      </w:pPr>
      <w:r w:rsidRPr="007E2A6A">
        <w:rPr>
          <w:rFonts w:asciiTheme="minorHAnsi" w:hAnsiTheme="minorHAnsi" w:cstheme="minorHAnsi"/>
          <w:noProof/>
          <w:sz w:val="24"/>
        </w:rPr>
        <mc:AlternateContent>
          <mc:Choice Requires="wps">
            <w:drawing>
              <wp:anchor distT="0" distB="0" distL="0" distR="0" simplePos="0" relativeHeight="251659264" behindDoc="1" locked="0" layoutInCell="1" allowOverlap="1" wp14:anchorId="1214EFA2" wp14:editId="4839D80B">
                <wp:simplePos x="0" y="0"/>
                <wp:positionH relativeFrom="page">
                  <wp:posOffset>685800</wp:posOffset>
                </wp:positionH>
                <wp:positionV relativeFrom="paragraph">
                  <wp:posOffset>172720</wp:posOffset>
                </wp:positionV>
                <wp:extent cx="4243705" cy="0"/>
                <wp:effectExtent l="9525" t="10795" r="13970" b="825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70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9511" id="Straight Connector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38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" strokeweight=".24356mm">
                <w10:wrap type="topAndBottom" anchorx="page"/>
              </v:line>
            </w:pict>
          </mc:Fallback>
        </mc:AlternateContent>
      </w:r>
      <w:r w:rsidRPr="007E2A6A">
        <w:rPr>
          <w:rFonts w:asciiTheme="minorHAnsi" w:hAnsiTheme="minorHAnsi" w:cstheme="minorHAnsi"/>
          <w:noProof/>
          <w:sz w:val="24"/>
        </w:rPr>
        <mc:AlternateContent>
          <mc:Choice Requires="wps">
            <w:drawing>
              <wp:anchor distT="0" distB="0" distL="0" distR="0" simplePos="0" relativeHeight="251660288" behindDoc="1" locked="0" layoutInCell="1" allowOverlap="1" wp14:anchorId="6E21EEB1" wp14:editId="26CEEE32">
                <wp:simplePos x="0" y="0"/>
                <wp:positionH relativeFrom="page">
                  <wp:posOffset>5434330</wp:posOffset>
                </wp:positionH>
                <wp:positionV relativeFrom="paragraph">
                  <wp:posOffset>172720</wp:posOffset>
                </wp:positionV>
                <wp:extent cx="1317625" cy="0"/>
                <wp:effectExtent l="5080" t="10795" r="10795" b="825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1ED8" id="Straight Connector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pt,13.6pt" to="53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" strokeweight=".24356mm">
                <w10:wrap type="topAndBottom" anchorx="page"/>
              </v:line>
            </w:pict>
          </mc:Fallback>
        </mc:AlternateContent>
      </w:r>
    </w:p>
    <w:p w14:paraId="3EE92A9F" w14:textId="77777777" w:rsidR="005D6F25" w:rsidRPr="007E2A6A" w:rsidRDefault="008A2211" w:rsidP="00686FA4">
      <w:pPr>
        <w:pStyle w:val="BodyText"/>
        <w:tabs>
          <w:tab w:val="left" w:pos="8046"/>
        </w:tabs>
        <w:spacing w:after="0"/>
        <w:ind w:left="-90"/>
        <w:rPr>
          <w:rFonts w:asciiTheme="minorHAnsi" w:hAnsiTheme="minorHAnsi" w:cstheme="minorHAnsi"/>
          <w:sz w:val="22"/>
        </w:rPr>
      </w:pPr>
      <w:r w:rsidRPr="007E2A6A">
        <w:rPr>
          <w:rFonts w:asciiTheme="minorHAnsi" w:hAnsiTheme="minorHAnsi" w:cstheme="minorHAnsi"/>
          <w:sz w:val="22"/>
        </w:rPr>
        <w:t>Name</w:t>
      </w:r>
      <w:r w:rsidRPr="007E2A6A">
        <w:rPr>
          <w:rFonts w:asciiTheme="minorHAnsi" w:hAnsiTheme="minorHAnsi" w:cstheme="minorHAnsi"/>
          <w:sz w:val="22"/>
        </w:rPr>
        <w:tab/>
        <w:t>Date</w:t>
      </w:r>
    </w:p>
    <w:sectPr w:rsidR="005D6F25" w:rsidRPr="007E2A6A" w:rsidSect="00173BF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432" w:right="1170" w:bottom="43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BDC9" w14:textId="77777777" w:rsidR="00096EFF" w:rsidRDefault="00096EFF">
      <w:r>
        <w:separator/>
      </w:r>
    </w:p>
  </w:endnote>
  <w:endnote w:type="continuationSeparator" w:id="0">
    <w:p w14:paraId="36455820" w14:textId="77777777" w:rsidR="00096EFF" w:rsidRDefault="0009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5A4C" w14:textId="77777777" w:rsidR="002731EA" w:rsidRDefault="0027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1B6D" w14:textId="77777777" w:rsidR="002731EA" w:rsidRDefault="00273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E921" w14:textId="77777777" w:rsidR="002731EA" w:rsidRDefault="0027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FFE0" w14:textId="77777777" w:rsidR="00096EFF" w:rsidRDefault="00096EFF">
      <w:r>
        <w:separator/>
      </w:r>
    </w:p>
  </w:footnote>
  <w:footnote w:type="continuationSeparator" w:id="0">
    <w:p w14:paraId="4EE4ECD3" w14:textId="77777777" w:rsidR="00096EFF" w:rsidRDefault="0009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1B3" w14:textId="77777777" w:rsidR="00686FA4" w:rsidRDefault="0068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EF8E" w14:textId="77777777" w:rsidR="002731EA" w:rsidRDefault="00273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D7E4" w14:textId="77777777" w:rsidR="002731EA" w:rsidRPr="002731EA" w:rsidRDefault="002731EA" w:rsidP="002731EA">
    <w:pPr>
      <w:ind w:left="3600" w:right="-720"/>
      <w:rPr>
        <w:rFonts w:ascii="Tahoma" w:hAnsi="Tahoma" w:cs="Tahoma"/>
      </w:rPr>
    </w:pPr>
    <w:r w:rsidRPr="002731EA">
      <w:rPr>
        <w:rFonts w:ascii="Tahoma" w:hAnsi="Tahoma" w:cs="Tahoma"/>
        <w:noProof/>
      </w:rPr>
      <w:drawing>
        <wp:anchor distT="0" distB="0" distL="114300" distR="114300" simplePos="0" relativeHeight="251659264" behindDoc="1" locked="0" layoutInCell="1" allowOverlap="1" wp14:anchorId="2B556F69" wp14:editId="079FC6AC">
          <wp:simplePos x="0" y="0"/>
          <wp:positionH relativeFrom="column">
            <wp:posOffset>-66675</wp:posOffset>
          </wp:positionH>
          <wp:positionV relativeFrom="paragraph">
            <wp:posOffset>-85725</wp:posOffset>
          </wp:positionV>
          <wp:extent cx="2114550" cy="137693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376931"/>
                  </a:xfrm>
                  <a:prstGeom prst="rect">
                    <a:avLst/>
                  </a:prstGeom>
                  <a:noFill/>
                  <a:ln>
                    <a:noFill/>
                  </a:ln>
                </pic:spPr>
              </pic:pic>
            </a:graphicData>
          </a:graphic>
        </wp:anchor>
      </w:drawing>
    </w:r>
    <w:r w:rsidRPr="002731EA">
      <w:rPr>
        <w:rFonts w:ascii="Tahoma" w:hAnsi="Tahoma" w:cs="Tahoma"/>
        <w:b/>
        <w:bCs/>
        <w:sz w:val="40"/>
        <w:szCs w:val="40"/>
      </w:rPr>
      <w:t>Department of Transportation</w:t>
    </w:r>
  </w:p>
  <w:p w14:paraId="487E24B0" w14:textId="77777777" w:rsidR="002731EA" w:rsidRPr="002731EA" w:rsidRDefault="002731EA" w:rsidP="002731EA">
    <w:pPr>
      <w:ind w:left="3600" w:right="-720"/>
      <w:rPr>
        <w:rFonts w:ascii="Tahoma" w:hAnsi="Tahoma" w:cs="Tahoma"/>
        <w:sz w:val="22"/>
      </w:rPr>
    </w:pPr>
    <w:r w:rsidRPr="002731EA">
      <w:rPr>
        <w:rFonts w:ascii="Tahoma" w:hAnsi="Tahoma" w:cs="Tahoma"/>
        <w:b/>
        <w:bCs/>
        <w:sz w:val="32"/>
        <w:szCs w:val="28"/>
      </w:rPr>
      <w:t>Environmental Office</w:t>
    </w:r>
  </w:p>
  <w:p w14:paraId="2A524C21" w14:textId="77777777" w:rsidR="002731EA" w:rsidRPr="002731EA" w:rsidRDefault="002731EA" w:rsidP="002731EA">
    <w:pPr>
      <w:ind w:left="3600" w:right="-720"/>
      <w:rPr>
        <w:rFonts w:ascii="Tahoma" w:hAnsi="Tahoma" w:cs="Tahoma"/>
        <w:b/>
        <w:sz w:val="22"/>
        <w:szCs w:val="22"/>
      </w:rPr>
    </w:pPr>
    <w:r w:rsidRPr="002731EA">
      <w:rPr>
        <w:rFonts w:ascii="Tahoma" w:hAnsi="Tahoma" w:cs="Tahoma"/>
        <w:b/>
        <w:bCs/>
        <w:sz w:val="22"/>
        <w:szCs w:val="22"/>
      </w:rPr>
      <w:t>700 E Broadway Avenue</w:t>
    </w:r>
  </w:p>
  <w:p w14:paraId="323F5FD0" w14:textId="77777777" w:rsidR="002731EA" w:rsidRPr="002731EA" w:rsidRDefault="002731EA" w:rsidP="002731EA">
    <w:pPr>
      <w:ind w:left="3600" w:right="-720"/>
      <w:rPr>
        <w:rFonts w:ascii="Tahoma" w:hAnsi="Tahoma" w:cs="Tahoma"/>
        <w:b/>
        <w:bCs/>
        <w:sz w:val="22"/>
        <w:szCs w:val="22"/>
      </w:rPr>
    </w:pPr>
    <w:smartTag w:uri="urn:schemas-microsoft-com:office:smarttags" w:element="place">
      <w:smartTag w:uri="urn:schemas-microsoft-com:office:smarttags" w:element="City">
        <w:r w:rsidRPr="002731EA">
          <w:rPr>
            <w:rFonts w:ascii="Tahoma" w:hAnsi="Tahoma" w:cs="Tahoma"/>
            <w:b/>
            <w:bCs/>
            <w:sz w:val="22"/>
            <w:szCs w:val="22"/>
          </w:rPr>
          <w:t>Pierre</w:t>
        </w:r>
      </w:smartTag>
      <w:r w:rsidRPr="002731EA">
        <w:rPr>
          <w:rFonts w:ascii="Tahoma" w:hAnsi="Tahoma" w:cs="Tahoma"/>
          <w:b/>
          <w:bCs/>
          <w:sz w:val="22"/>
          <w:szCs w:val="22"/>
        </w:rPr>
        <w:t xml:space="preserve">, </w:t>
      </w:r>
      <w:smartTag w:uri="urn:schemas-microsoft-com:office:smarttags" w:element="State">
        <w:r w:rsidRPr="002731EA">
          <w:rPr>
            <w:rFonts w:ascii="Tahoma" w:hAnsi="Tahoma" w:cs="Tahoma"/>
            <w:b/>
            <w:bCs/>
            <w:sz w:val="22"/>
            <w:szCs w:val="22"/>
          </w:rPr>
          <w:t xml:space="preserve">South </w:t>
        </w:r>
        <w:smartTag w:uri="urn:schemas-microsoft-com:office:smarttags" w:element="PersonName">
          <w:r w:rsidRPr="002731EA">
            <w:rPr>
              <w:rFonts w:ascii="Tahoma" w:hAnsi="Tahoma" w:cs="Tahoma"/>
              <w:b/>
              <w:bCs/>
              <w:sz w:val="22"/>
              <w:szCs w:val="22"/>
            </w:rPr>
            <w:t>Dakota</w:t>
          </w:r>
        </w:smartTag>
      </w:smartTag>
      <w:r w:rsidRPr="002731EA">
        <w:rPr>
          <w:rFonts w:ascii="Tahoma" w:hAnsi="Tahoma" w:cs="Tahoma"/>
          <w:b/>
          <w:bCs/>
          <w:sz w:val="22"/>
          <w:szCs w:val="22"/>
        </w:rPr>
        <w:t xml:space="preserve"> </w:t>
      </w:r>
      <w:smartTag w:uri="urn:schemas-microsoft-com:office:smarttags" w:element="PostalCode">
        <w:r w:rsidRPr="002731EA">
          <w:rPr>
            <w:rFonts w:ascii="Tahoma" w:hAnsi="Tahoma" w:cs="Tahoma"/>
            <w:b/>
            <w:bCs/>
            <w:sz w:val="22"/>
            <w:szCs w:val="22"/>
          </w:rPr>
          <w:t>57501-2586</w:t>
        </w:r>
      </w:smartTag>
    </w:smartTag>
  </w:p>
  <w:p w14:paraId="444B6F87" w14:textId="77777777" w:rsidR="002731EA" w:rsidRPr="002731EA" w:rsidRDefault="002731EA" w:rsidP="002731EA">
    <w:pPr>
      <w:ind w:left="3600" w:right="-720"/>
      <w:rPr>
        <w:rFonts w:ascii="Tahoma" w:hAnsi="Tahoma" w:cs="Tahoma"/>
        <w:b/>
        <w:bCs/>
        <w:sz w:val="22"/>
        <w:szCs w:val="22"/>
      </w:rPr>
    </w:pPr>
    <w:r w:rsidRPr="002731EA">
      <w:rPr>
        <w:rFonts w:ascii="Tahoma" w:hAnsi="Tahoma" w:cs="Tahoma"/>
        <w:b/>
        <w:bCs/>
        <w:sz w:val="22"/>
        <w:szCs w:val="22"/>
      </w:rPr>
      <w:t>605/773-4336</w:t>
    </w:r>
  </w:p>
  <w:p w14:paraId="1D025407" w14:textId="77777777" w:rsidR="00454420" w:rsidRDefault="00454420" w:rsidP="002731EA">
    <w:pPr>
      <w:pStyle w:val="Header"/>
      <w:ind w:left="9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E463" w14:textId="77777777" w:rsidR="002731EA" w:rsidRDefault="0027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E4F"/>
    <w:multiLevelType w:val="hybridMultilevel"/>
    <w:tmpl w:val="7996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76802"/>
    <w:multiLevelType w:val="hybridMultilevel"/>
    <w:tmpl w:val="D85A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45C4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0C11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CC52BE7"/>
    <w:multiLevelType w:val="hybridMultilevel"/>
    <w:tmpl w:val="3AF67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24324"/>
    <w:multiLevelType w:val="hybridMultilevel"/>
    <w:tmpl w:val="FA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1615A"/>
    <w:multiLevelType w:val="hybridMultilevel"/>
    <w:tmpl w:val="3052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73BF4"/>
    <w:multiLevelType w:val="hybridMultilevel"/>
    <w:tmpl w:val="AB1489AC"/>
    <w:lvl w:ilvl="0" w:tplc="A1385314">
      <w:start w:val="1"/>
      <w:numFmt w:val="decimal"/>
      <w:lvlText w:val="(%1)"/>
      <w:lvlJc w:val="left"/>
      <w:pPr>
        <w:ind w:left="720" w:hanging="36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A18E6"/>
    <w:multiLevelType w:val="hybridMultilevel"/>
    <w:tmpl w:val="3F74B722"/>
    <w:lvl w:ilvl="0" w:tplc="3CA847B4">
      <w:start w:val="1"/>
      <w:numFmt w:val="decimal"/>
      <w:lvlText w:val="%1"/>
      <w:lvlJc w:val="left"/>
      <w:pPr>
        <w:ind w:left="667" w:hanging="360"/>
      </w:pPr>
      <w:rPr>
        <w:rFonts w:hint="default"/>
        <w:w w:val="99"/>
      </w:rPr>
    </w:lvl>
    <w:lvl w:ilvl="1" w:tplc="36C237F0">
      <w:numFmt w:val="bullet"/>
      <w:lvlText w:val="•"/>
      <w:lvlJc w:val="left"/>
      <w:pPr>
        <w:ind w:left="1554" w:hanging="360"/>
      </w:pPr>
    </w:lvl>
    <w:lvl w:ilvl="2" w:tplc="8556ADCE">
      <w:numFmt w:val="bullet"/>
      <w:lvlText w:val="•"/>
      <w:lvlJc w:val="left"/>
      <w:pPr>
        <w:ind w:left="2448" w:hanging="360"/>
      </w:pPr>
    </w:lvl>
    <w:lvl w:ilvl="3" w:tplc="60529538">
      <w:numFmt w:val="bullet"/>
      <w:lvlText w:val="•"/>
      <w:lvlJc w:val="left"/>
      <w:pPr>
        <w:ind w:left="3342" w:hanging="360"/>
      </w:pPr>
    </w:lvl>
    <w:lvl w:ilvl="4" w:tplc="FDDA5836">
      <w:numFmt w:val="bullet"/>
      <w:lvlText w:val="•"/>
      <w:lvlJc w:val="left"/>
      <w:pPr>
        <w:ind w:left="4236" w:hanging="360"/>
      </w:pPr>
    </w:lvl>
    <w:lvl w:ilvl="5" w:tplc="8F60F592">
      <w:numFmt w:val="bullet"/>
      <w:lvlText w:val="•"/>
      <w:lvlJc w:val="left"/>
      <w:pPr>
        <w:ind w:left="5130" w:hanging="360"/>
      </w:pPr>
    </w:lvl>
    <w:lvl w:ilvl="6" w:tplc="8F52BFEA">
      <w:numFmt w:val="bullet"/>
      <w:lvlText w:val="•"/>
      <w:lvlJc w:val="left"/>
      <w:pPr>
        <w:ind w:left="6024" w:hanging="360"/>
      </w:pPr>
    </w:lvl>
    <w:lvl w:ilvl="7" w:tplc="22B267E8">
      <w:numFmt w:val="bullet"/>
      <w:lvlText w:val="•"/>
      <w:lvlJc w:val="left"/>
      <w:pPr>
        <w:ind w:left="6918" w:hanging="360"/>
      </w:pPr>
    </w:lvl>
    <w:lvl w:ilvl="8" w:tplc="A13049E8">
      <w:numFmt w:val="bullet"/>
      <w:lvlText w:val="•"/>
      <w:lvlJc w:val="left"/>
      <w:pPr>
        <w:ind w:left="7812" w:hanging="360"/>
      </w:pPr>
    </w:lvl>
  </w:abstractNum>
  <w:num w:numId="1" w16cid:durableId="2144035603">
    <w:abstractNumId w:val="3"/>
  </w:num>
  <w:num w:numId="2" w16cid:durableId="1930386335">
    <w:abstractNumId w:val="2"/>
  </w:num>
  <w:num w:numId="3" w16cid:durableId="70587228">
    <w:abstractNumId w:val="8"/>
  </w:num>
  <w:num w:numId="4" w16cid:durableId="371655249">
    <w:abstractNumId w:val="6"/>
  </w:num>
  <w:num w:numId="5" w16cid:durableId="520819002">
    <w:abstractNumId w:val="7"/>
  </w:num>
  <w:num w:numId="6" w16cid:durableId="1776704028">
    <w:abstractNumId w:val="0"/>
  </w:num>
  <w:num w:numId="7" w16cid:durableId="1978366764">
    <w:abstractNumId w:val="1"/>
  </w:num>
  <w:num w:numId="8" w16cid:durableId="881985409">
    <w:abstractNumId w:val="5"/>
  </w:num>
  <w:num w:numId="9" w16cid:durableId="382027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56"/>
    <w:rsid w:val="00013FC5"/>
    <w:rsid w:val="000156BB"/>
    <w:rsid w:val="00023E7E"/>
    <w:rsid w:val="00041924"/>
    <w:rsid w:val="00047DDA"/>
    <w:rsid w:val="000543EA"/>
    <w:rsid w:val="00064E27"/>
    <w:rsid w:val="00077423"/>
    <w:rsid w:val="00096EFF"/>
    <w:rsid w:val="000E3417"/>
    <w:rsid w:val="00104945"/>
    <w:rsid w:val="00120631"/>
    <w:rsid w:val="00142AE0"/>
    <w:rsid w:val="00161FDA"/>
    <w:rsid w:val="00162B94"/>
    <w:rsid w:val="0016536B"/>
    <w:rsid w:val="00173BF7"/>
    <w:rsid w:val="001769B8"/>
    <w:rsid w:val="001E0AE9"/>
    <w:rsid w:val="001F788D"/>
    <w:rsid w:val="00212E78"/>
    <w:rsid w:val="00213C74"/>
    <w:rsid w:val="002174D0"/>
    <w:rsid w:val="00262A83"/>
    <w:rsid w:val="00266DAA"/>
    <w:rsid w:val="002731EA"/>
    <w:rsid w:val="00292CBF"/>
    <w:rsid w:val="002964BC"/>
    <w:rsid w:val="002C1034"/>
    <w:rsid w:val="00323B10"/>
    <w:rsid w:val="003416C1"/>
    <w:rsid w:val="00370764"/>
    <w:rsid w:val="003A01CB"/>
    <w:rsid w:val="003A4014"/>
    <w:rsid w:val="003C16BA"/>
    <w:rsid w:val="003E5496"/>
    <w:rsid w:val="003F2C25"/>
    <w:rsid w:val="003F7DCC"/>
    <w:rsid w:val="00426549"/>
    <w:rsid w:val="00433184"/>
    <w:rsid w:val="004449D3"/>
    <w:rsid w:val="00454420"/>
    <w:rsid w:val="00460D46"/>
    <w:rsid w:val="00464C64"/>
    <w:rsid w:val="004778DF"/>
    <w:rsid w:val="00485172"/>
    <w:rsid w:val="00490FAF"/>
    <w:rsid w:val="0049704B"/>
    <w:rsid w:val="004970F2"/>
    <w:rsid w:val="004C4356"/>
    <w:rsid w:val="004E406B"/>
    <w:rsid w:val="005175F0"/>
    <w:rsid w:val="0053287D"/>
    <w:rsid w:val="00537568"/>
    <w:rsid w:val="00585940"/>
    <w:rsid w:val="005D6F25"/>
    <w:rsid w:val="00606CD2"/>
    <w:rsid w:val="00621036"/>
    <w:rsid w:val="006249A7"/>
    <w:rsid w:val="006403A9"/>
    <w:rsid w:val="006460DC"/>
    <w:rsid w:val="00650EC1"/>
    <w:rsid w:val="00661952"/>
    <w:rsid w:val="00686FA4"/>
    <w:rsid w:val="006C2069"/>
    <w:rsid w:val="006D77DD"/>
    <w:rsid w:val="00716972"/>
    <w:rsid w:val="00761FDF"/>
    <w:rsid w:val="007811A5"/>
    <w:rsid w:val="00786527"/>
    <w:rsid w:val="007876F5"/>
    <w:rsid w:val="007A0046"/>
    <w:rsid w:val="007B3E8D"/>
    <w:rsid w:val="007D21A8"/>
    <w:rsid w:val="007E2A6A"/>
    <w:rsid w:val="007E3774"/>
    <w:rsid w:val="00811BB2"/>
    <w:rsid w:val="00857045"/>
    <w:rsid w:val="008600C3"/>
    <w:rsid w:val="00876FFA"/>
    <w:rsid w:val="008A2211"/>
    <w:rsid w:val="008B1154"/>
    <w:rsid w:val="008C67FE"/>
    <w:rsid w:val="00971D64"/>
    <w:rsid w:val="009909E4"/>
    <w:rsid w:val="009A72F2"/>
    <w:rsid w:val="009B28F1"/>
    <w:rsid w:val="009B4B68"/>
    <w:rsid w:val="009E29E8"/>
    <w:rsid w:val="009F188D"/>
    <w:rsid w:val="00A158AC"/>
    <w:rsid w:val="00A15E9F"/>
    <w:rsid w:val="00A30F65"/>
    <w:rsid w:val="00A31A81"/>
    <w:rsid w:val="00A41E14"/>
    <w:rsid w:val="00A43157"/>
    <w:rsid w:val="00A624A9"/>
    <w:rsid w:val="00A77214"/>
    <w:rsid w:val="00A80654"/>
    <w:rsid w:val="00A849AE"/>
    <w:rsid w:val="00AB2A19"/>
    <w:rsid w:val="00B21549"/>
    <w:rsid w:val="00B36ECE"/>
    <w:rsid w:val="00B62540"/>
    <w:rsid w:val="00B66FA5"/>
    <w:rsid w:val="00B75A6B"/>
    <w:rsid w:val="00B93C46"/>
    <w:rsid w:val="00B953EB"/>
    <w:rsid w:val="00BC3B9E"/>
    <w:rsid w:val="00BD5F2F"/>
    <w:rsid w:val="00C001E0"/>
    <w:rsid w:val="00C04609"/>
    <w:rsid w:val="00C048C4"/>
    <w:rsid w:val="00C2022D"/>
    <w:rsid w:val="00C35D20"/>
    <w:rsid w:val="00C6238A"/>
    <w:rsid w:val="00C73730"/>
    <w:rsid w:val="00C8161B"/>
    <w:rsid w:val="00C957BA"/>
    <w:rsid w:val="00CC115D"/>
    <w:rsid w:val="00CE1517"/>
    <w:rsid w:val="00CF0CBD"/>
    <w:rsid w:val="00D24A10"/>
    <w:rsid w:val="00D51143"/>
    <w:rsid w:val="00D75C2B"/>
    <w:rsid w:val="00DA695D"/>
    <w:rsid w:val="00DD426C"/>
    <w:rsid w:val="00DD5795"/>
    <w:rsid w:val="00DE0198"/>
    <w:rsid w:val="00DE4480"/>
    <w:rsid w:val="00DF0976"/>
    <w:rsid w:val="00DF525F"/>
    <w:rsid w:val="00E03504"/>
    <w:rsid w:val="00E27218"/>
    <w:rsid w:val="00E84330"/>
    <w:rsid w:val="00EA2030"/>
    <w:rsid w:val="00EA61E6"/>
    <w:rsid w:val="00EB3A9C"/>
    <w:rsid w:val="00EC5B2A"/>
    <w:rsid w:val="00ED69E9"/>
    <w:rsid w:val="00ED7296"/>
    <w:rsid w:val="00ED73DB"/>
    <w:rsid w:val="00EE3C4E"/>
    <w:rsid w:val="00EF0B85"/>
    <w:rsid w:val="00F23596"/>
    <w:rsid w:val="00F42020"/>
    <w:rsid w:val="00F53BCD"/>
    <w:rsid w:val="00F7111D"/>
    <w:rsid w:val="00F878ED"/>
    <w:rsid w:val="00FD03DD"/>
    <w:rsid w:val="00FE6E50"/>
    <w:rsid w:val="00FF0480"/>
    <w:rsid w:val="00FF0FE2"/>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hapeDefaults>
    <o:shapedefaults v:ext="edit" spidmax="16385"/>
    <o:shapelayout v:ext="edit">
      <o:idmap v:ext="edit" data="1"/>
    </o:shapelayout>
  </w:shapeDefaults>
  <w:decimalSymbol w:val="."/>
  <w:listSeparator w:val=","/>
  <w14:docId w14:val="576F14CF"/>
  <w15:docId w15:val="{C448BF60-EACC-4080-A194-4BAB4F1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i/>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sz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rPr>
  </w:style>
  <w:style w:type="paragraph" w:customStyle="1" w:styleId="SignatureCompanyName">
    <w:name w:val="Signature Company Name"/>
    <w:basedOn w:val="Signature"/>
    <w:next w:val="SignatureName"/>
    <w:pPr>
      <w:keepLines/>
      <w:spacing w:after="160"/>
    </w:pPr>
    <w:rPr>
      <w:b/>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pPr>
      <w:ind w:left="2160"/>
    </w:pPr>
  </w:style>
  <w:style w:type="character" w:customStyle="1" w:styleId="Lead-inEmphasis">
    <w:name w:val="Lead-in Emphasis"/>
    <w:rPr>
      <w:b/>
      <w:i/>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cList">
    <w:name w:val="Cc List"/>
    <w:basedOn w:val="Normal"/>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rPr>
  </w:style>
  <w:style w:type="paragraph" w:styleId="BodyText3">
    <w:name w:val="Body Text 3"/>
    <w:basedOn w:val="Normal"/>
    <w:rPr>
      <w:rFonts w:ascii="Arial" w:hAnsi="Arial"/>
      <w:sz w:val="24"/>
    </w:rPr>
  </w:style>
  <w:style w:type="table" w:styleId="TableGrid">
    <w:name w:val="Table Grid"/>
    <w:basedOn w:val="TableNormal"/>
    <w:uiPriority w:val="39"/>
    <w:rsid w:val="00D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E8D"/>
    <w:rPr>
      <w:color w:val="0000FF"/>
      <w:u w:val="single"/>
    </w:rPr>
  </w:style>
  <w:style w:type="character" w:styleId="FollowedHyperlink">
    <w:name w:val="FollowedHyperlink"/>
    <w:rsid w:val="00077423"/>
    <w:rPr>
      <w:color w:val="800080"/>
      <w:u w:val="single"/>
    </w:rPr>
  </w:style>
  <w:style w:type="paragraph" w:styleId="BalloonText">
    <w:name w:val="Balloon Text"/>
    <w:basedOn w:val="Normal"/>
    <w:link w:val="BalloonTextChar"/>
    <w:uiPriority w:val="99"/>
    <w:semiHidden/>
    <w:unhideWhenUsed/>
    <w:rsid w:val="00B953EB"/>
    <w:rPr>
      <w:rFonts w:ascii="Tahoma" w:hAnsi="Tahoma" w:cs="Tahoma"/>
      <w:sz w:val="16"/>
      <w:szCs w:val="16"/>
    </w:rPr>
  </w:style>
  <w:style w:type="character" w:customStyle="1" w:styleId="BalloonTextChar">
    <w:name w:val="Balloon Text Char"/>
    <w:basedOn w:val="DefaultParagraphFont"/>
    <w:link w:val="BalloonText"/>
    <w:uiPriority w:val="99"/>
    <w:semiHidden/>
    <w:rsid w:val="00B953EB"/>
    <w:rPr>
      <w:rFonts w:ascii="Tahoma" w:hAnsi="Tahoma" w:cs="Tahoma"/>
      <w:sz w:val="16"/>
      <w:szCs w:val="16"/>
    </w:rPr>
  </w:style>
  <w:style w:type="paragraph" w:styleId="ListParagraph">
    <w:name w:val="List Paragraph"/>
    <w:basedOn w:val="Normal"/>
    <w:uiPriority w:val="1"/>
    <w:qFormat/>
    <w:rsid w:val="00AB2A19"/>
    <w:pPr>
      <w:widowControl w:val="0"/>
      <w:autoSpaceDE w:val="0"/>
      <w:autoSpaceDN w:val="0"/>
      <w:spacing w:before="120"/>
      <w:ind w:left="667" w:right="118" w:hanging="360"/>
      <w:jc w:val="both"/>
    </w:pPr>
    <w:rPr>
      <w:rFonts w:ascii="Trebuchet MS" w:eastAsia="Trebuchet MS" w:hAnsi="Trebuchet MS" w:cs="Trebuchet MS"/>
      <w:sz w:val="22"/>
      <w:szCs w:val="22"/>
    </w:rPr>
  </w:style>
  <w:style w:type="character" w:customStyle="1" w:styleId="FooterChar">
    <w:name w:val="Footer Char"/>
    <w:basedOn w:val="DefaultParagraphFont"/>
    <w:link w:val="Footer"/>
    <w:uiPriority w:val="99"/>
    <w:rsid w:val="00E84330"/>
  </w:style>
  <w:style w:type="character" w:customStyle="1" w:styleId="HeaderChar">
    <w:name w:val="Header Char"/>
    <w:basedOn w:val="DefaultParagraphFont"/>
    <w:link w:val="Header"/>
    <w:uiPriority w:val="99"/>
    <w:rsid w:val="00A6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378">
      <w:bodyDiv w:val="1"/>
      <w:marLeft w:val="0"/>
      <w:marRight w:val="0"/>
      <w:marTop w:val="0"/>
      <w:marBottom w:val="0"/>
      <w:divBdr>
        <w:top w:val="none" w:sz="0" w:space="0" w:color="auto"/>
        <w:left w:val="none" w:sz="0" w:space="0" w:color="auto"/>
        <w:bottom w:val="none" w:sz="0" w:space="0" w:color="auto"/>
        <w:right w:val="none" w:sz="0" w:space="0" w:color="auto"/>
      </w:divBdr>
    </w:div>
    <w:div w:id="56443727">
      <w:bodyDiv w:val="1"/>
      <w:marLeft w:val="0"/>
      <w:marRight w:val="0"/>
      <w:marTop w:val="0"/>
      <w:marBottom w:val="0"/>
      <w:divBdr>
        <w:top w:val="none" w:sz="0" w:space="0" w:color="auto"/>
        <w:left w:val="none" w:sz="0" w:space="0" w:color="auto"/>
        <w:bottom w:val="none" w:sz="0" w:space="0" w:color="auto"/>
        <w:right w:val="none" w:sz="0" w:space="0" w:color="auto"/>
      </w:divBdr>
    </w:div>
    <w:div w:id="898177180">
      <w:bodyDiv w:val="1"/>
      <w:marLeft w:val="0"/>
      <w:marRight w:val="0"/>
      <w:marTop w:val="0"/>
      <w:marBottom w:val="0"/>
      <w:divBdr>
        <w:top w:val="none" w:sz="0" w:space="0" w:color="auto"/>
        <w:left w:val="none" w:sz="0" w:space="0" w:color="auto"/>
        <w:bottom w:val="none" w:sz="0" w:space="0" w:color="auto"/>
        <w:right w:val="none" w:sz="0" w:space="0" w:color="auto"/>
      </w:divBdr>
    </w:div>
    <w:div w:id="1119644528">
      <w:bodyDiv w:val="1"/>
      <w:marLeft w:val="0"/>
      <w:marRight w:val="0"/>
      <w:marTop w:val="0"/>
      <w:marBottom w:val="0"/>
      <w:divBdr>
        <w:top w:val="none" w:sz="0" w:space="0" w:color="auto"/>
        <w:left w:val="none" w:sz="0" w:space="0" w:color="auto"/>
        <w:bottom w:val="none" w:sz="0" w:space="0" w:color="auto"/>
        <w:right w:val="none" w:sz="0" w:space="0" w:color="auto"/>
      </w:divBdr>
    </w:div>
    <w:div w:id="1284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806</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Butte County  PCEMS 5999</vt:lpstr>
    </vt:vector>
  </TitlesOfParts>
  <Company>State of South Dakota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PCEMS 5999</dc:title>
  <dc:creator>South Dakota;tom.lehmkuhl@state.sd.us</dc:creator>
  <cp:lastModifiedBy>Calhoun, Emily</cp:lastModifiedBy>
  <cp:revision>7</cp:revision>
  <cp:lastPrinted>2023-04-25T19:31:00Z</cp:lastPrinted>
  <dcterms:created xsi:type="dcterms:W3CDTF">2022-11-17T17:40:00Z</dcterms:created>
  <dcterms:modified xsi:type="dcterms:W3CDTF">2023-04-25T19:32:00Z</dcterms:modified>
</cp:coreProperties>
</file>